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1F955" w14:textId="0F1D2905" w:rsidR="001636EE" w:rsidRPr="00E24587" w:rsidRDefault="00D274DA" w:rsidP="00747FB3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E24587">
        <w:rPr>
          <w:rFonts w:ascii="Arial" w:hAnsi="Arial" w:cs="Arial"/>
          <w:b/>
          <w:sz w:val="18"/>
          <w:szCs w:val="18"/>
        </w:rPr>
        <w:t>Table</w:t>
      </w:r>
      <w:r w:rsidR="0040447C" w:rsidRPr="00E24587">
        <w:rPr>
          <w:rFonts w:ascii="Arial" w:hAnsi="Arial" w:cs="Arial"/>
          <w:b/>
          <w:sz w:val="18"/>
          <w:szCs w:val="18"/>
        </w:rPr>
        <w:t xml:space="preserve"> </w:t>
      </w:r>
      <w:r w:rsidR="00D14F82" w:rsidRPr="00E24587">
        <w:rPr>
          <w:rFonts w:ascii="Arial" w:hAnsi="Arial" w:cs="Arial"/>
          <w:b/>
          <w:sz w:val="18"/>
          <w:szCs w:val="18"/>
        </w:rPr>
        <w:t>1</w:t>
      </w:r>
      <w:r w:rsidR="001636EE" w:rsidRPr="00E24587">
        <w:rPr>
          <w:rFonts w:ascii="Arial" w:hAnsi="Arial" w:cs="Arial"/>
          <w:b/>
          <w:sz w:val="18"/>
          <w:szCs w:val="18"/>
        </w:rPr>
        <w:t>. Demographic Characteristics</w:t>
      </w:r>
      <w:r w:rsidR="005B22CC" w:rsidRPr="00E24587">
        <w:rPr>
          <w:rFonts w:ascii="Arial" w:hAnsi="Arial" w:cs="Arial"/>
          <w:b/>
          <w:sz w:val="18"/>
          <w:szCs w:val="18"/>
        </w:rPr>
        <w:t xml:space="preserve"> </w:t>
      </w:r>
      <w:r w:rsidR="001636EE" w:rsidRPr="00E24587">
        <w:rPr>
          <w:rFonts w:ascii="Arial" w:hAnsi="Arial" w:cs="Arial"/>
          <w:b/>
          <w:sz w:val="18"/>
          <w:szCs w:val="18"/>
        </w:rPr>
        <w:t xml:space="preserve">and Screening Process </w:t>
      </w:r>
      <w:r w:rsidR="00A232AC" w:rsidRPr="00E24587">
        <w:rPr>
          <w:rFonts w:ascii="Arial" w:hAnsi="Arial" w:cs="Arial"/>
          <w:b/>
          <w:sz w:val="18"/>
          <w:szCs w:val="18"/>
        </w:rPr>
        <w:t xml:space="preserve">Measures </w:t>
      </w:r>
      <w:r w:rsidR="00F6339A" w:rsidRPr="00E24587">
        <w:rPr>
          <w:rFonts w:ascii="Arial" w:hAnsi="Arial" w:cs="Arial"/>
          <w:b/>
          <w:sz w:val="18"/>
          <w:szCs w:val="18"/>
        </w:rPr>
        <w:t xml:space="preserve">for </w:t>
      </w:r>
      <w:r w:rsidR="00440D22" w:rsidRPr="00E24587">
        <w:rPr>
          <w:rFonts w:ascii="Arial" w:hAnsi="Arial" w:cs="Arial"/>
          <w:b/>
          <w:sz w:val="18"/>
          <w:szCs w:val="18"/>
        </w:rPr>
        <w:t xml:space="preserve">the </w:t>
      </w:r>
      <w:r w:rsidR="00165FDB" w:rsidRPr="00E24587">
        <w:rPr>
          <w:rFonts w:ascii="Arial" w:hAnsi="Arial" w:cs="Arial"/>
          <w:b/>
          <w:sz w:val="18"/>
          <w:szCs w:val="18"/>
        </w:rPr>
        <w:t xml:space="preserve">PROSPR METRICS </w:t>
      </w:r>
      <w:r w:rsidR="00B95647" w:rsidRPr="00E24587">
        <w:rPr>
          <w:rFonts w:ascii="Arial" w:hAnsi="Arial" w:cs="Arial"/>
          <w:b/>
          <w:sz w:val="18"/>
          <w:szCs w:val="18"/>
        </w:rPr>
        <w:t xml:space="preserve">Cervical Research Center </w:t>
      </w:r>
      <w:r w:rsidR="001F4C8C" w:rsidRPr="00E24587">
        <w:rPr>
          <w:rFonts w:ascii="Arial" w:hAnsi="Arial" w:cs="Arial"/>
          <w:b/>
          <w:sz w:val="18"/>
          <w:szCs w:val="18"/>
        </w:rPr>
        <w:t xml:space="preserve">Cohort </w:t>
      </w:r>
      <w:r w:rsidR="001858AF" w:rsidRPr="00E24587">
        <w:rPr>
          <w:rFonts w:ascii="Arial" w:hAnsi="Arial" w:cs="Arial"/>
          <w:b/>
          <w:sz w:val="18"/>
          <w:szCs w:val="18"/>
        </w:rPr>
        <w:t>f</w:t>
      </w:r>
      <w:r w:rsidR="00127532" w:rsidRPr="00E24587">
        <w:rPr>
          <w:rFonts w:ascii="Arial" w:hAnsi="Arial" w:cs="Arial"/>
          <w:b/>
          <w:sz w:val="18"/>
          <w:szCs w:val="18"/>
        </w:rPr>
        <w:t>rom</w:t>
      </w:r>
      <w:r w:rsidR="00BB2C9F" w:rsidRPr="00E24587">
        <w:rPr>
          <w:rFonts w:ascii="Arial" w:hAnsi="Arial" w:cs="Arial"/>
          <w:b/>
          <w:sz w:val="18"/>
          <w:szCs w:val="18"/>
        </w:rPr>
        <w:t xml:space="preserve"> 2010-</w:t>
      </w:r>
      <w:r w:rsidR="0059030F" w:rsidRPr="00E24587">
        <w:rPr>
          <w:rFonts w:ascii="Arial" w:hAnsi="Arial" w:cs="Arial"/>
          <w:b/>
          <w:sz w:val="18"/>
          <w:szCs w:val="18"/>
        </w:rPr>
        <w:t>2020</w:t>
      </w:r>
    </w:p>
    <w:p w14:paraId="43BDA275" w14:textId="5A717067" w:rsidR="00BA5EE3" w:rsidRPr="00E24587" w:rsidRDefault="00BA5EE3" w:rsidP="00937260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</w:p>
    <w:tbl>
      <w:tblPr>
        <w:tblW w:w="4919" w:type="pct"/>
        <w:tblLook w:val="04A0" w:firstRow="1" w:lastRow="0" w:firstColumn="1" w:lastColumn="0" w:noHBand="0" w:noVBand="1"/>
      </w:tblPr>
      <w:tblGrid>
        <w:gridCol w:w="4519"/>
        <w:gridCol w:w="4680"/>
      </w:tblGrid>
      <w:tr w:rsidR="006B5DBC" w:rsidRPr="00E24587" w14:paraId="40FC0112" w14:textId="0B2437D0" w:rsidTr="0031103E">
        <w:trPr>
          <w:trHeight w:val="63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E6E7E7" w14:textId="77777777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027545" w14:textId="2C21D20F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</w:tr>
      <w:tr w:rsidR="006B5DBC" w:rsidRPr="00E24587" w14:paraId="29A00661" w14:textId="77777777" w:rsidTr="0031103E">
        <w:trPr>
          <w:trHeight w:val="259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08E0F6" w14:textId="1ABBEB14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sz w:val="18"/>
                <w:szCs w:val="18"/>
              </w:rPr>
              <w:t>Total Cohort Members</w:t>
            </w:r>
            <w:r w:rsidRPr="00E2458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="00217EF1" w:rsidRPr="00E2458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,2</w:t>
            </w:r>
          </w:p>
        </w:tc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2346" w14:textId="0048E221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1,060,110</w:t>
            </w:r>
          </w:p>
        </w:tc>
      </w:tr>
      <w:tr w:rsidR="006B5DBC" w:rsidRPr="00E24587" w14:paraId="73BDA90D" w14:textId="77777777" w:rsidTr="0031103E">
        <w:trPr>
          <w:trHeight w:val="259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35561B" w14:textId="3CAA27A2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sz w:val="18"/>
                <w:szCs w:val="18"/>
              </w:rPr>
              <w:t xml:space="preserve">Cohort Demographics </w:t>
            </w:r>
            <w:r w:rsidR="005C25A5" w:rsidRPr="00E24587">
              <w:rPr>
                <w:rFonts w:ascii="Arial" w:hAnsi="Arial" w:cs="Arial"/>
                <w:b/>
                <w:sz w:val="18"/>
                <w:szCs w:val="18"/>
              </w:rPr>
              <w:t>at</w:t>
            </w:r>
            <w:r w:rsidRPr="00E24587">
              <w:rPr>
                <w:rFonts w:ascii="Arial" w:hAnsi="Arial" w:cs="Arial"/>
                <w:b/>
                <w:sz w:val="18"/>
                <w:szCs w:val="18"/>
              </w:rPr>
              <w:t xml:space="preserve"> First Cohort Entry</w:t>
            </w:r>
            <w:r w:rsidR="005C25A5" w:rsidRPr="00E2458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="00F170E3" w:rsidRPr="00E2458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,4</w:t>
            </w:r>
          </w:p>
        </w:tc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3537E2" w14:textId="61DD7DD7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N (Col %)</w:t>
            </w:r>
          </w:p>
        </w:tc>
      </w:tr>
      <w:tr w:rsidR="006B5DBC" w:rsidRPr="00E24587" w14:paraId="13EFF3BB" w14:textId="77777777" w:rsidTr="0031103E">
        <w:trPr>
          <w:trHeight w:val="259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CBCCDE" w14:textId="34645CFD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sz w:val="18"/>
                <w:szCs w:val="18"/>
              </w:rPr>
              <w:t>Age</w:t>
            </w:r>
          </w:p>
        </w:tc>
        <w:tc>
          <w:tcPr>
            <w:tcW w:w="254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46A0" w14:textId="77176A68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5DBC" w:rsidRPr="00E24587" w14:paraId="198B3F96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9E134F" w14:textId="0D731C79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18-20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79FB5" w14:textId="4BA6F355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92,892 (8.76)</w:t>
            </w:r>
          </w:p>
        </w:tc>
      </w:tr>
      <w:tr w:rsidR="006B5DBC" w:rsidRPr="00E24587" w14:paraId="3D5ADED6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9BAA0E" w14:textId="75E2DC70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21-24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D7875F" w14:textId="5ED1E283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103,662 (9.78)</w:t>
            </w:r>
          </w:p>
        </w:tc>
      </w:tr>
      <w:tr w:rsidR="006B5DBC" w:rsidRPr="00E24587" w14:paraId="6010710B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F2A9AA" w14:textId="28BAC279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25-29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63A2F2" w14:textId="34EBA53D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139,467 (13.16)</w:t>
            </w:r>
          </w:p>
        </w:tc>
      </w:tr>
      <w:tr w:rsidR="006B5DBC" w:rsidRPr="00E24587" w14:paraId="01CB02B4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52C3BD" w14:textId="49D43132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30-39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2BF257" w14:textId="4F2EF358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216,446 (20.42)</w:t>
            </w:r>
          </w:p>
        </w:tc>
      </w:tr>
      <w:tr w:rsidR="006B5DBC" w:rsidRPr="00E24587" w14:paraId="0DF43995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20F40A" w14:textId="4AB64D4E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40-49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3EDC33" w14:textId="573A5D2B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172,569 (16.28)</w:t>
            </w:r>
          </w:p>
        </w:tc>
      </w:tr>
      <w:tr w:rsidR="006B5DBC" w:rsidRPr="00E24587" w14:paraId="08B3EC7B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2F9E79" w14:textId="70AD6210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50-59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DF5714" w14:textId="75153188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165,256 (15.59)</w:t>
            </w:r>
          </w:p>
        </w:tc>
      </w:tr>
      <w:tr w:rsidR="006B5DBC" w:rsidRPr="00E24587" w14:paraId="700FB2A4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AFB78B" w14:textId="67D47AE1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60-65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10D76" w14:textId="491A125C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79,588 (7.51)</w:t>
            </w:r>
          </w:p>
        </w:tc>
      </w:tr>
      <w:tr w:rsidR="006B5DBC" w:rsidRPr="00E24587" w14:paraId="3784679A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4CE522" w14:textId="1877F35C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66-69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F33E6" w14:textId="083F3941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28,283 (2.67)</w:t>
            </w:r>
          </w:p>
        </w:tc>
      </w:tr>
      <w:tr w:rsidR="006B5DBC" w:rsidRPr="00E24587" w14:paraId="724340D6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1A492B" w14:textId="1D3E5258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70-79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75B6D6" w14:textId="7C842051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41,070 (3.87)</w:t>
            </w:r>
          </w:p>
        </w:tc>
      </w:tr>
      <w:tr w:rsidR="006B5DBC" w:rsidRPr="00E24587" w14:paraId="7AAD794F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685564" w14:textId="339CF044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80-89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0C302" w14:textId="73D8BBFC" w:rsidR="006B5DBC" w:rsidRPr="00E24587" w:rsidRDefault="006B5DBC" w:rsidP="00F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20,877 (1.97)</w:t>
            </w:r>
          </w:p>
        </w:tc>
      </w:tr>
      <w:tr w:rsidR="006B5DBC" w:rsidRPr="00E24587" w14:paraId="4EEE6C49" w14:textId="2C93D6C9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805C7D" w14:textId="53C796F9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sz w:val="18"/>
                <w:szCs w:val="18"/>
              </w:rPr>
              <w:t>Race/Ethnicity</w:t>
            </w:r>
            <w:r w:rsidR="00F170E3" w:rsidRPr="00E2458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11F797" w14:textId="369FB449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5DBC" w:rsidRPr="00E24587" w14:paraId="6E4567E2" w14:textId="29464C1F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BD1053" w14:textId="6F8B0DF9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Hispanic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297A92" w14:textId="5CB0966D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247,426 (23.34)</w:t>
            </w:r>
          </w:p>
        </w:tc>
      </w:tr>
      <w:tr w:rsidR="006B5DBC" w:rsidRPr="00E24587" w14:paraId="5EE904EB" w14:textId="0A20B6CE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AF2ABB" w14:textId="34C6D582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Black, NH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8FCDAC" w14:textId="7D87B261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125,231 (11.81)</w:t>
            </w:r>
          </w:p>
        </w:tc>
      </w:tr>
      <w:tr w:rsidR="006B5DBC" w:rsidRPr="00E24587" w14:paraId="6E342083" w14:textId="54C2A8F3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6E9FF6" w14:textId="605F5888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White, NH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6FAD3E" w14:textId="59D32AD3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485,900 (45.83)</w:t>
            </w:r>
          </w:p>
        </w:tc>
      </w:tr>
      <w:tr w:rsidR="006B5DBC" w:rsidRPr="00E24587" w14:paraId="2BCFE5F8" w14:textId="69A76D24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D03D98" w14:textId="2124C5DA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Asian / Pacific Islander, NH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FBCA42" w14:textId="151EB699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79,271 (7.48)</w:t>
            </w:r>
          </w:p>
        </w:tc>
      </w:tr>
      <w:tr w:rsidR="006B5DBC" w:rsidRPr="00E24587" w14:paraId="3A2027F9" w14:textId="0E084976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B6268B" w14:textId="10CEC69E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Native American / Alaskan Native, NH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7A2486" w14:textId="564FCC2B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3,491 (0.33)</w:t>
            </w:r>
          </w:p>
        </w:tc>
      </w:tr>
      <w:tr w:rsidR="006B5DBC" w:rsidRPr="00E24587" w14:paraId="425D6566" w14:textId="12F5F70C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AA4C4D" w14:textId="32B34CAB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Other, NH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CFED0" w14:textId="4E587D7D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8,670 (0.82)</w:t>
            </w:r>
          </w:p>
        </w:tc>
      </w:tr>
      <w:tr w:rsidR="006B5DBC" w:rsidRPr="00E24587" w14:paraId="11172166" w14:textId="5A0FB20D" w:rsidTr="0031103E">
        <w:trPr>
          <w:trHeight w:val="27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07BFBE" w14:textId="67B68843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&gt;1 Race, NH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7B817" w14:textId="33D30585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18,709 (1.76)</w:t>
            </w:r>
          </w:p>
        </w:tc>
      </w:tr>
      <w:tr w:rsidR="006B5DBC" w:rsidRPr="00E24587" w14:paraId="213EFD49" w14:textId="77777777" w:rsidTr="0031103E">
        <w:trPr>
          <w:trHeight w:val="27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DC3902" w14:textId="5E943739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83B1FB" w14:textId="41878261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91,412 (8.62)</w:t>
            </w:r>
          </w:p>
        </w:tc>
      </w:tr>
      <w:tr w:rsidR="006B5DBC" w:rsidRPr="00E24587" w14:paraId="6BC12AEB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76D278" w14:textId="222FC6F2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Health Insurance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7514CB" w14:textId="77777777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5DBC" w:rsidRPr="00E24587" w14:paraId="439C1DB1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787454" w14:textId="1C550E76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Medicare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138884" w14:textId="06A18C86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75,762 (7.15)</w:t>
            </w:r>
          </w:p>
        </w:tc>
      </w:tr>
      <w:tr w:rsidR="006B5DBC" w:rsidRPr="00E24587" w14:paraId="2457323B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8EAD73" w14:textId="57052F5B" w:rsidR="006B5DBC" w:rsidRPr="00E24587" w:rsidRDefault="006B5DBC" w:rsidP="00D1630C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Medicaid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</w:tcPr>
          <w:p w14:paraId="42A10CBD" w14:textId="53F8C6C6" w:rsidR="006B5DBC" w:rsidRPr="00E24587" w:rsidRDefault="006B5DBC" w:rsidP="00D16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156,469 (14.76)</w:t>
            </w:r>
          </w:p>
        </w:tc>
      </w:tr>
      <w:tr w:rsidR="006B5DBC" w:rsidRPr="00E24587" w14:paraId="10822972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4AE544" w14:textId="365EB84E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Commercial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4A3B64" w14:textId="48A7B02E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561,492 (52.97)</w:t>
            </w:r>
          </w:p>
        </w:tc>
      </w:tr>
      <w:tr w:rsidR="006B5DBC" w:rsidRPr="00E24587" w14:paraId="523CA13A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0626AA" w14:textId="0BB60655" w:rsidR="006B5DBC" w:rsidRPr="00E24587" w:rsidRDefault="006B5DBC" w:rsidP="00D1630C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Other Insurance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</w:tcPr>
          <w:p w14:paraId="6D05FDE4" w14:textId="09EE85C1" w:rsidR="006B5DBC" w:rsidRPr="00E24587" w:rsidRDefault="006B5DBC" w:rsidP="00D16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44,706 (4.22)</w:t>
            </w:r>
          </w:p>
        </w:tc>
      </w:tr>
      <w:tr w:rsidR="006B5DBC" w:rsidRPr="00E24587" w14:paraId="3599051D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58C9B1" w14:textId="609657B7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Uninsured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E7911" w14:textId="07A54E33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120,270 (11.35)</w:t>
            </w:r>
          </w:p>
        </w:tc>
      </w:tr>
      <w:tr w:rsidR="006B5DBC" w:rsidRPr="00E24587" w14:paraId="58D53778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99F3F5" w14:textId="6B727BD6" w:rsidR="006B5DBC" w:rsidRPr="00E24587" w:rsidRDefault="006B5DBC" w:rsidP="00D1630C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Multiple Insurance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</w:tcPr>
          <w:p w14:paraId="1F30B66D" w14:textId="1131971D" w:rsidR="006B5DBC" w:rsidRPr="00E24587" w:rsidRDefault="006B5DBC" w:rsidP="00D16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84,977 (8.02)</w:t>
            </w:r>
          </w:p>
        </w:tc>
      </w:tr>
      <w:tr w:rsidR="006B5DBC" w:rsidRPr="00E24587" w14:paraId="5DBD237D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C76470" w14:textId="413EAD3B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64DB08" w14:textId="3622F40B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16,434 (1.55)</w:t>
            </w:r>
          </w:p>
        </w:tc>
      </w:tr>
      <w:tr w:rsidR="006B5DBC" w:rsidRPr="00E24587" w14:paraId="1D4016A3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E3EAC6" w14:textId="1548DD4B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≥1 HPV vaccination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B28824" w14:textId="75F90CC1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86,370 (8.15)</w:t>
            </w:r>
          </w:p>
        </w:tc>
      </w:tr>
      <w:tr w:rsidR="006B5DBC" w:rsidRPr="00E24587" w14:paraId="2E7B086D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57782C" w14:textId="674BE3AF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Under Surveillance for Prior Abnormality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AA0CBF" w14:textId="6E6B423E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43,396 (4.09)</w:t>
            </w:r>
          </w:p>
        </w:tc>
      </w:tr>
      <w:tr w:rsidR="006B5DBC" w:rsidRPr="00E24587" w14:paraId="2A463DAC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7AD592" w14:textId="4694306B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Prior Primary Care Encounter within 1 Yr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60028E" w14:textId="23D947BA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463,571 (43.73)</w:t>
            </w:r>
          </w:p>
        </w:tc>
      </w:tr>
      <w:tr w:rsidR="006B5DBC" w:rsidRPr="00E24587" w14:paraId="36088A33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C0058C" w14:textId="37D0864B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 Cervix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A18FE4" w14:textId="61A16024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37,402 (3.53)</w:t>
            </w:r>
          </w:p>
        </w:tc>
      </w:tr>
      <w:tr w:rsidR="006B5DBC" w:rsidRPr="00E24587" w14:paraId="1975FBED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4A365F" w14:textId="46A24600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HIV</w:t>
            </w:r>
            <w:r w:rsidR="005C25A5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4D937" w14:textId="400A3783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3,195 (0.30)</w:t>
            </w:r>
          </w:p>
        </w:tc>
      </w:tr>
      <w:tr w:rsidR="006B5DBC" w:rsidRPr="00E24587" w14:paraId="2F9165C9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B8D863" w14:textId="52F1429D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Yost Quintile (State)</w:t>
            </w: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523D02" w14:textId="77777777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5DBC" w:rsidRPr="00E24587" w14:paraId="213869CA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441A95" w14:textId="7619FA39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 – Low SES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BC843F" w14:textId="4CBA98D5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201,782 (19.03)</w:t>
            </w:r>
          </w:p>
        </w:tc>
      </w:tr>
      <w:tr w:rsidR="006B5DBC" w:rsidRPr="00E24587" w14:paraId="29113E63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22A4C3" w14:textId="51EED6F8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7844A" w14:textId="2D8608C2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183,457 (17.31)</w:t>
            </w:r>
          </w:p>
        </w:tc>
      </w:tr>
      <w:tr w:rsidR="006B5DBC" w:rsidRPr="00E24587" w14:paraId="469D2A76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CD3C62" w14:textId="52B9C0CF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926806" w14:textId="0A0ACB1A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169,291 (15.97)</w:t>
            </w:r>
          </w:p>
        </w:tc>
      </w:tr>
      <w:tr w:rsidR="006B5DBC" w:rsidRPr="00E24587" w14:paraId="6C54C671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98D2B5" w14:textId="3B26A170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D8465D" w14:textId="5B1E6901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197,496 (18.63)</w:t>
            </w:r>
          </w:p>
        </w:tc>
      </w:tr>
      <w:tr w:rsidR="006B5DBC" w:rsidRPr="00E24587" w14:paraId="0BE6F8CF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CD00C6" w14:textId="588E5DF1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5 – High SES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3A40A" w14:textId="44921723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238,487 (22.50)</w:t>
            </w:r>
          </w:p>
        </w:tc>
      </w:tr>
      <w:tr w:rsidR="006B5DBC" w:rsidRPr="00E24587" w14:paraId="2DD9B669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B6A99" w14:textId="6DD50A39" w:rsidR="006B5DBC" w:rsidRPr="00E24587" w:rsidRDefault="006B5DBC" w:rsidP="00F56EAF">
            <w:pPr>
              <w:spacing w:after="0" w:line="240" w:lineRule="auto"/>
              <w:ind w:left="15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254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2501" w14:textId="335B203E" w:rsidR="006B5DBC" w:rsidRPr="00E24587" w:rsidRDefault="006B5DBC" w:rsidP="00F56E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69,597 (6.57)</w:t>
            </w:r>
          </w:p>
        </w:tc>
      </w:tr>
      <w:tr w:rsidR="006B5DBC" w:rsidRPr="00E24587" w14:paraId="4ECEA944" w14:textId="77777777" w:rsidTr="0031103E">
        <w:trPr>
          <w:trHeight w:val="259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7CF68D" w14:textId="0C956D63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sz w:val="18"/>
                <w:szCs w:val="18"/>
              </w:rPr>
              <w:t>Cohort Demographics during Cohort Period</w:t>
            </w:r>
            <w:r w:rsidR="00F170E3" w:rsidRPr="00E2458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0B49C6" w14:textId="33163BD5" w:rsidR="006B5DBC" w:rsidRPr="00E24587" w:rsidRDefault="006B5DBC" w:rsidP="00D52A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N (Col %)</w:t>
            </w:r>
          </w:p>
        </w:tc>
      </w:tr>
      <w:tr w:rsidR="006B5DBC" w:rsidRPr="00E24587" w14:paraId="0B6A17CE" w14:textId="77777777" w:rsidTr="0031103E">
        <w:trPr>
          <w:trHeight w:val="259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7A139F" w14:textId="2F036BB7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Cervical Cancer</w:t>
            </w: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4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8817" w14:textId="52537C64" w:rsidR="006B5DBC" w:rsidRPr="00E24587" w:rsidRDefault="006B5DBC" w:rsidP="00D52A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693 (0.07)</w:t>
            </w:r>
          </w:p>
        </w:tc>
      </w:tr>
      <w:tr w:rsidR="0031103E" w:rsidRPr="00E24587" w14:paraId="28F61226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F5954" w14:textId="37A44E46" w:rsidR="0031103E" w:rsidRPr="00E24587" w:rsidRDefault="0031103E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≥1 AIS/CIS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14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72BE2A" w14:textId="7519C807" w:rsidR="0031103E" w:rsidRPr="00E24587" w:rsidRDefault="00CA7556" w:rsidP="00D52A1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3,719 (0.35)</w:t>
            </w:r>
          </w:p>
        </w:tc>
      </w:tr>
      <w:tr w:rsidR="006B5DBC" w:rsidRPr="00E24587" w14:paraId="3211A4C5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771FB4" w14:textId="66101164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Deaths</w:t>
            </w:r>
            <w:r w:rsidR="0064749A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(Any Cause)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082BBC" w14:textId="49F0C171" w:rsidR="006B5DBC" w:rsidRPr="00E24587" w:rsidRDefault="006B5DBC" w:rsidP="00D52A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28,261 (2.67)</w:t>
            </w:r>
          </w:p>
        </w:tc>
      </w:tr>
      <w:tr w:rsidR="006B5DBC" w:rsidRPr="00E24587" w14:paraId="262C1C28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30A904" w14:textId="5140E579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≥1 Pap/HPV Test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D0C5DC" w14:textId="70B0AD0A" w:rsidR="006B5DBC" w:rsidRPr="00E24587" w:rsidRDefault="006B5DBC" w:rsidP="00D52A1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600,703 (56.66)</w:t>
            </w:r>
          </w:p>
        </w:tc>
      </w:tr>
      <w:tr w:rsidR="006B5DBC" w:rsidRPr="00E24587" w14:paraId="7560591A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650AD0" w14:textId="30889162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≥1 Abnormal Pap/HPV Test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C8C0D" w14:textId="2A804129" w:rsidR="006B5DBC" w:rsidRPr="00E24587" w:rsidRDefault="006B5DBC" w:rsidP="00D52A1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107,997 (10.19)</w:t>
            </w:r>
          </w:p>
        </w:tc>
      </w:tr>
      <w:tr w:rsidR="006B5DBC" w:rsidRPr="00E24587" w14:paraId="23C74B44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B989AA" w14:textId="1D7F5ED3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≥1 Cervical Procedure</w:t>
            </w:r>
            <w:r w:rsidR="0064749A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="006121AA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30137" w14:textId="15508183" w:rsidR="006B5DBC" w:rsidRPr="00E24587" w:rsidRDefault="006B5DBC" w:rsidP="00D52A1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86,384 (8.15)</w:t>
            </w:r>
          </w:p>
        </w:tc>
      </w:tr>
      <w:tr w:rsidR="006B5DBC" w:rsidRPr="00E24587" w14:paraId="20E2AEA2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A0CED2" w14:textId="64E05794" w:rsidR="006B5DBC" w:rsidRPr="00E24587" w:rsidRDefault="006B5DBC" w:rsidP="00F56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≥1 Pregnancy</w:t>
            </w: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="006121AA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254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34B7" w14:textId="4C853A3B" w:rsidR="006B5DBC" w:rsidRPr="00E24587" w:rsidRDefault="006B5DBC" w:rsidP="00D52A1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171,659 (16.19)</w:t>
            </w:r>
          </w:p>
        </w:tc>
      </w:tr>
      <w:tr w:rsidR="006B5DBC" w:rsidRPr="00E24587" w14:paraId="3DF12417" w14:textId="77777777" w:rsidTr="0031103E">
        <w:trPr>
          <w:trHeight w:val="259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904473" w14:textId="6760C4D0" w:rsidR="006B5DBC" w:rsidRPr="00E24587" w:rsidRDefault="006B5DBC" w:rsidP="00A75CF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sz w:val="18"/>
                <w:szCs w:val="18"/>
              </w:rPr>
              <w:t>Events during Cohort Period</w:t>
            </w:r>
            <w:r w:rsidR="006121AA" w:rsidRPr="00E2458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17</w:t>
            </w:r>
          </w:p>
        </w:tc>
        <w:tc>
          <w:tcPr>
            <w:tcW w:w="2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9ED024" w14:textId="53112035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sz w:val="18"/>
                <w:szCs w:val="18"/>
              </w:rPr>
              <w:t>N (Col %)</w:t>
            </w:r>
          </w:p>
        </w:tc>
      </w:tr>
      <w:tr w:rsidR="006B5DBC" w:rsidRPr="00E24587" w14:paraId="0F24497B" w14:textId="77777777" w:rsidTr="0031103E">
        <w:trPr>
          <w:trHeight w:val="259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E269B2" w14:textId="3B1C7D54" w:rsidR="006B5DBC" w:rsidRPr="00E24587" w:rsidRDefault="006B5DBC" w:rsidP="00CA1E8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Primary Care Encounters [Median (IQR)]</w:t>
            </w: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F170E3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254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9C5E" w14:textId="569F50EA" w:rsidR="006B5DBC" w:rsidRPr="00E24587" w:rsidRDefault="006B5DBC" w:rsidP="00CA1E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7 (3, 16)</w:t>
            </w:r>
          </w:p>
        </w:tc>
      </w:tr>
      <w:tr w:rsidR="006B5DBC" w:rsidRPr="00E24587" w14:paraId="588CFAB2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24A3B3" w14:textId="56C11D70" w:rsidR="006B5DBC" w:rsidRPr="00E24587" w:rsidRDefault="006B5DBC" w:rsidP="00A75CF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Pap/HPV Tests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A8ED29" w14:textId="07DDA2BC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1,188,588</w:t>
            </w:r>
          </w:p>
        </w:tc>
      </w:tr>
      <w:tr w:rsidR="006B5DBC" w:rsidRPr="00E24587" w14:paraId="5AFA20F5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F3E976" w14:textId="033E258A" w:rsidR="006B5DBC" w:rsidRPr="00E24587" w:rsidRDefault="006B5DBC" w:rsidP="00A75CF7">
            <w:pPr>
              <w:spacing w:after="0" w:line="240" w:lineRule="auto"/>
              <w:ind w:left="15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Pap Alone/ASC-US Reflex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502923" w14:textId="0232C653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770,133 (64.79)</w:t>
            </w:r>
          </w:p>
        </w:tc>
      </w:tr>
      <w:tr w:rsidR="006B5DBC" w:rsidRPr="00E24587" w14:paraId="272B9F5D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9EE1DE" w14:textId="1896D720" w:rsidR="006B5DBC" w:rsidRPr="00E24587" w:rsidRDefault="006B5DBC" w:rsidP="00A75CF7">
            <w:pPr>
              <w:spacing w:after="0" w:line="240" w:lineRule="auto"/>
              <w:ind w:left="15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Co-Test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BF496" w14:textId="6DC7ABEE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356,662 (30.01)</w:t>
            </w:r>
          </w:p>
        </w:tc>
      </w:tr>
      <w:tr w:rsidR="006B5DBC" w:rsidRPr="00E24587" w14:paraId="5FE9899B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4CE585" w14:textId="7911CDBE" w:rsidR="006B5DBC" w:rsidRPr="00E24587" w:rsidRDefault="006B5DBC" w:rsidP="00A75CF7">
            <w:pPr>
              <w:spacing w:after="0" w:line="240" w:lineRule="auto"/>
              <w:ind w:left="15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Primary HPV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0DE66D" w14:textId="3B0EEACF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2,316 (0.19)</w:t>
            </w:r>
          </w:p>
        </w:tc>
      </w:tr>
      <w:tr w:rsidR="006B5DBC" w:rsidRPr="00E24587" w14:paraId="06440DE5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09BCA0" w14:textId="1F0A1C99" w:rsidR="006B5DBC" w:rsidRPr="00E24587" w:rsidRDefault="006B5DBC" w:rsidP="00A75CF7">
            <w:pPr>
              <w:spacing w:after="0" w:line="240" w:lineRule="auto"/>
              <w:ind w:left="15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628CF" w14:textId="61F7CCD5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32,411 (2.73)</w:t>
            </w:r>
          </w:p>
        </w:tc>
      </w:tr>
      <w:tr w:rsidR="006B5DBC" w:rsidRPr="00E24587" w14:paraId="2DFC570E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8EF3EB" w14:textId="4CA6FA94" w:rsidR="006B5DBC" w:rsidRPr="00E24587" w:rsidRDefault="006B5DBC" w:rsidP="00A75CF7">
            <w:pPr>
              <w:spacing w:after="0" w:line="240" w:lineRule="auto"/>
              <w:ind w:left="15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306DCB" w14:textId="3CE7DAF4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27,066 (2.28)</w:t>
            </w:r>
          </w:p>
        </w:tc>
      </w:tr>
      <w:tr w:rsidR="006B5DBC" w:rsidRPr="00E24587" w14:paraId="560ADCD0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C68AA0" w14:textId="2846059E" w:rsidR="006B5DBC" w:rsidRPr="00E24587" w:rsidRDefault="006B5DBC" w:rsidP="00A75CF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Cervical Procedures</w:t>
            </w:r>
            <w:r w:rsidR="00D1381C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13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C10925" w14:textId="35F59535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131,445</w:t>
            </w:r>
          </w:p>
        </w:tc>
      </w:tr>
      <w:tr w:rsidR="006B5DBC" w:rsidRPr="00E24587" w14:paraId="4C11B676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C1C281" w14:textId="1791A331" w:rsidR="006B5DBC" w:rsidRPr="00E24587" w:rsidRDefault="006B5DBC" w:rsidP="00A75CF7">
            <w:pPr>
              <w:spacing w:after="0" w:line="240" w:lineRule="auto"/>
              <w:ind w:left="15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Colposcopy/Biopsy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4FA4CF" w14:textId="492E5E73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88,821 (67.57)</w:t>
            </w:r>
          </w:p>
        </w:tc>
      </w:tr>
      <w:tr w:rsidR="006B5DBC" w:rsidRPr="00E24587" w14:paraId="19C9BFE9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71FCAA" w14:textId="4C5F4E68" w:rsidR="006B5DBC" w:rsidRPr="00E24587" w:rsidRDefault="006B5DBC" w:rsidP="00A75CF7">
            <w:pPr>
              <w:spacing w:after="0" w:line="240" w:lineRule="auto"/>
              <w:ind w:left="15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Excisional Treatment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F6E391" w14:textId="7F4FB98E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9,370 (7.13)</w:t>
            </w:r>
          </w:p>
        </w:tc>
      </w:tr>
      <w:tr w:rsidR="006B5DBC" w:rsidRPr="00E24587" w14:paraId="68060314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C4E9F9" w14:textId="577695FD" w:rsidR="006B5DBC" w:rsidRPr="00E24587" w:rsidRDefault="006B5DBC" w:rsidP="00A75CF7">
            <w:pPr>
              <w:spacing w:after="0" w:line="240" w:lineRule="auto"/>
              <w:ind w:left="15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Hysterectomy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50CB19" w14:textId="7B64E977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32,192 (24.49)</w:t>
            </w:r>
          </w:p>
        </w:tc>
      </w:tr>
      <w:tr w:rsidR="006B5DBC" w:rsidRPr="00E24587" w14:paraId="7737DE4D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50FF73" w14:textId="7D97B995" w:rsidR="006B5DBC" w:rsidRPr="00E24587" w:rsidRDefault="006B5DBC" w:rsidP="00A75CF7">
            <w:pPr>
              <w:spacing w:after="0" w:line="240" w:lineRule="auto"/>
              <w:ind w:left="15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4A3A2" w14:textId="40B78223" w:rsidR="006B5DBC" w:rsidRPr="00E24587" w:rsidRDefault="006B5DBC" w:rsidP="00A75C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1,062 (0.81)</w:t>
            </w:r>
          </w:p>
        </w:tc>
      </w:tr>
      <w:tr w:rsidR="006B5DBC" w:rsidRPr="00E24587" w14:paraId="122482DB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C1D605" w14:textId="60655273" w:rsidR="006B5DBC" w:rsidRPr="00E24587" w:rsidRDefault="006B5DBC" w:rsidP="00243DA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Unique Performing Providers</w:t>
            </w:r>
            <w:r w:rsidR="0064749A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="006121AA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25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3C4CB7" w14:textId="3B16C13C" w:rsidR="006B5DBC" w:rsidRPr="00E24587" w:rsidRDefault="006B5DBC" w:rsidP="00243D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11,868</w:t>
            </w:r>
          </w:p>
        </w:tc>
      </w:tr>
      <w:tr w:rsidR="006B5DBC" w:rsidRPr="00E24587" w14:paraId="2F6C2568" w14:textId="77777777" w:rsidTr="0031103E">
        <w:trPr>
          <w:trHeight w:val="259"/>
        </w:trPr>
        <w:tc>
          <w:tcPr>
            <w:tcW w:w="245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596F5" w14:textId="1BEAACA9" w:rsidR="006B5DBC" w:rsidRPr="00E24587" w:rsidRDefault="006B5DBC" w:rsidP="00243DA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Unique Performing Facilities</w:t>
            </w:r>
            <w:r w:rsidR="0064749A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="006121AA" w:rsidRPr="00E245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254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1882" w14:textId="162AD2E5" w:rsidR="006B5DBC" w:rsidRPr="00E24587" w:rsidRDefault="006B5DBC" w:rsidP="00243D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587">
              <w:rPr>
                <w:rFonts w:ascii="Arial" w:hAnsi="Arial" w:cs="Arial"/>
                <w:color w:val="000000"/>
                <w:sz w:val="18"/>
                <w:szCs w:val="18"/>
              </w:rPr>
              <w:t>411</w:t>
            </w:r>
          </w:p>
        </w:tc>
      </w:tr>
    </w:tbl>
    <w:p w14:paraId="504914A2" w14:textId="0991741D" w:rsidR="00833219" w:rsidRPr="00E24587" w:rsidRDefault="00F90936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</w:t>
      </w:r>
      <w:r w:rsidR="001636EE" w:rsidRPr="00E24587">
        <w:rPr>
          <w:rFonts w:ascii="Arial" w:hAnsi="Arial" w:cs="Arial"/>
          <w:sz w:val="18"/>
          <w:szCs w:val="18"/>
        </w:rPr>
        <w:t xml:space="preserve"> </w:t>
      </w:r>
      <w:r w:rsidRPr="00E24587">
        <w:rPr>
          <w:rFonts w:ascii="Arial" w:hAnsi="Arial" w:cs="Arial"/>
          <w:sz w:val="18"/>
          <w:szCs w:val="18"/>
        </w:rPr>
        <w:t>All cohort members were assigned female at birth. Females entered the cohort from 2010-2020 if aged 18-89 years old (all sites) and met additional site-specific entry criteria as follows: for KPWA</w:t>
      </w:r>
      <w:r w:rsidR="007853D4" w:rsidRPr="00E24587">
        <w:rPr>
          <w:rFonts w:ascii="Arial" w:hAnsi="Arial" w:cs="Arial"/>
          <w:sz w:val="18"/>
          <w:szCs w:val="18"/>
        </w:rPr>
        <w:t xml:space="preserve"> and</w:t>
      </w:r>
      <w:r w:rsidRPr="00E24587">
        <w:rPr>
          <w:rFonts w:ascii="Arial" w:hAnsi="Arial" w:cs="Arial"/>
          <w:sz w:val="18"/>
          <w:szCs w:val="18"/>
        </w:rPr>
        <w:t xml:space="preserve"> empaneled to a member network primary care provider; for MGB, visited a primary care provider within the healthcare delivery system; and for PH-UTSW, visited a primary care provider within the county safety-net system. Overall median (IQR) cohort entry year was 2012 (2010-2016), which was identical across all sites. </w:t>
      </w:r>
    </w:p>
    <w:p w14:paraId="5BDC4C22" w14:textId="22F24706" w:rsidR="0071456C" w:rsidRPr="00E24587" w:rsidRDefault="00F90936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2</w:t>
      </w:r>
      <w:r w:rsidR="00E27D41" w:rsidRPr="00E24587">
        <w:rPr>
          <w:rFonts w:ascii="Arial" w:hAnsi="Arial" w:cs="Arial"/>
          <w:sz w:val="18"/>
          <w:szCs w:val="18"/>
        </w:rPr>
        <w:t xml:space="preserve"> </w:t>
      </w:r>
      <w:r w:rsidR="00217EF1" w:rsidRPr="00E24587">
        <w:rPr>
          <w:rFonts w:ascii="Arial" w:hAnsi="Arial" w:cs="Arial"/>
          <w:sz w:val="18"/>
          <w:szCs w:val="18"/>
        </w:rPr>
        <w:t>Cohort members exited the cohort from 2010-2020 due to reaching age 90 years, death, administrative cut-off (December 30</w:t>
      </w:r>
      <w:r w:rsidR="00217EF1" w:rsidRPr="00E24587">
        <w:rPr>
          <w:rFonts w:ascii="Arial" w:hAnsi="Arial" w:cs="Arial"/>
          <w:sz w:val="18"/>
          <w:szCs w:val="18"/>
          <w:vertAlign w:val="superscript"/>
        </w:rPr>
        <w:t>th</w:t>
      </w:r>
      <w:r w:rsidR="00217EF1" w:rsidRPr="00E24587">
        <w:rPr>
          <w:rFonts w:ascii="Arial" w:hAnsi="Arial" w:cs="Arial"/>
          <w:sz w:val="18"/>
          <w:szCs w:val="18"/>
        </w:rPr>
        <w:t xml:space="preserve">, 2020), or site-specific exit criteria as follows: for KPWA, disenrollment from the healthcare plan or residential relocation outside of the Seattle-Puget Sound SEER registry catchment area); for MGB, lack of primary care utilization &gt;37 months; and for PH-UTSW, moving outside of Dallas County for ≥6 months or lack of primary care utilization &gt;37 months. Overall median (IQR) cohort exit year was 2020 (2016-2020); by site, the median (IQR) cohort exit year was 2017 (2013-2020) for KPWA, 2020 (2020-2020) for MGB, and 2020 (2017-2020) for PH-UTSW. </w:t>
      </w:r>
      <w:r w:rsidRPr="00E24587">
        <w:rPr>
          <w:rFonts w:ascii="Arial" w:hAnsi="Arial" w:cs="Arial"/>
          <w:sz w:val="18"/>
          <w:szCs w:val="18"/>
        </w:rPr>
        <w:t>Cohort members at MGB and PH-UTSW</w:t>
      </w:r>
      <w:r w:rsidR="007853D4" w:rsidRPr="00E24587">
        <w:rPr>
          <w:rFonts w:ascii="Arial" w:hAnsi="Arial" w:cs="Arial"/>
          <w:sz w:val="18"/>
          <w:szCs w:val="18"/>
        </w:rPr>
        <w:t xml:space="preserve"> could</w:t>
      </w:r>
      <w:r w:rsidRPr="00E24587">
        <w:rPr>
          <w:rFonts w:ascii="Arial" w:hAnsi="Arial" w:cs="Arial"/>
          <w:sz w:val="18"/>
          <w:szCs w:val="18"/>
        </w:rPr>
        <w:t xml:space="preserve"> re-enter the cohort</w:t>
      </w:r>
      <w:r w:rsidR="00E70DDB" w:rsidRPr="00E24587">
        <w:rPr>
          <w:rFonts w:ascii="Arial" w:hAnsi="Arial" w:cs="Arial"/>
          <w:sz w:val="18"/>
          <w:szCs w:val="18"/>
        </w:rPr>
        <w:t xml:space="preserve"> upon utilization when cohort entry criteria described above were met.</w:t>
      </w:r>
      <w:r w:rsidR="00217EF1" w:rsidRPr="00E24587">
        <w:rPr>
          <w:rFonts w:ascii="Arial" w:hAnsi="Arial" w:cs="Arial"/>
          <w:sz w:val="18"/>
          <w:szCs w:val="18"/>
        </w:rPr>
        <w:t xml:space="preserve"> Overall median (IQR) cohort duration was 3.9 (1.9-8.4) years; by site, the median (IQR) cohort duration was 2.3 (0.9-5.7) years for KPWA, 6.5 (3.2-10.2) years for MGB, and 4.4 (3.1-8.1) years for PH-UTSW. </w:t>
      </w:r>
    </w:p>
    <w:p w14:paraId="43D8F8B8" w14:textId="6292D32C" w:rsidR="00D1381C" w:rsidRPr="00E24587" w:rsidRDefault="00D1381C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 xml:space="preserve">3 </w:t>
      </w:r>
      <w:r w:rsidRPr="00E24587">
        <w:rPr>
          <w:rFonts w:ascii="Arial" w:hAnsi="Arial" w:cs="Arial"/>
          <w:sz w:val="18"/>
          <w:szCs w:val="18"/>
        </w:rPr>
        <w:t>Refer to specific demographic footnotes to discern whether the demographic was</w:t>
      </w:r>
      <w:r w:rsidR="0059030F" w:rsidRPr="00E24587">
        <w:rPr>
          <w:rFonts w:ascii="Arial" w:hAnsi="Arial" w:cs="Arial"/>
          <w:sz w:val="18"/>
          <w:szCs w:val="18"/>
        </w:rPr>
        <w:t xml:space="preserve"> determined using</w:t>
      </w:r>
      <w:r w:rsidRPr="00E24587">
        <w:rPr>
          <w:rFonts w:ascii="Arial" w:hAnsi="Arial" w:cs="Arial"/>
          <w:sz w:val="18"/>
          <w:szCs w:val="18"/>
        </w:rPr>
        <w:t xml:space="preserve"> information inclusive of the first cohort entry date or up to the day prior to first cohort entry date.</w:t>
      </w:r>
    </w:p>
    <w:p w14:paraId="5435FF68" w14:textId="7F7834E4" w:rsidR="006121AA" w:rsidRPr="00E24587" w:rsidRDefault="006121AA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4</w:t>
      </w:r>
      <w:r w:rsidRPr="00E24587">
        <w:rPr>
          <w:rFonts w:ascii="Arial" w:hAnsi="Arial" w:cs="Arial"/>
          <w:sz w:val="18"/>
          <w:szCs w:val="18"/>
        </w:rPr>
        <w:t xml:space="preserve"> Reports per-cohort member counts.</w:t>
      </w:r>
    </w:p>
    <w:p w14:paraId="6208F822" w14:textId="5914C8BA" w:rsidR="00E70DDB" w:rsidRPr="00E24587" w:rsidRDefault="006121AA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5</w:t>
      </w:r>
      <w:r w:rsidR="00D116B8" w:rsidRPr="00E24587">
        <w:rPr>
          <w:rFonts w:ascii="Arial" w:hAnsi="Arial" w:cs="Arial"/>
          <w:sz w:val="18"/>
          <w:szCs w:val="18"/>
        </w:rPr>
        <w:t xml:space="preserve"> </w:t>
      </w:r>
      <w:r w:rsidR="00E70DDB" w:rsidRPr="00E24587">
        <w:rPr>
          <w:rFonts w:ascii="Arial" w:hAnsi="Arial" w:cs="Arial"/>
          <w:sz w:val="18"/>
          <w:szCs w:val="18"/>
        </w:rPr>
        <w:t xml:space="preserve">Race/ethnicity was classified using the following mutually exclusive categories: Hispanic; Black, Non-Hispanic (NH); White, Non-Hispanic (NH); Asian/Pacific Islander, which includes cohort members who identified as Asian, Native Hawaiian, or Pacific Islander, Non-Hispanic (NH); Native American/Alaskan Native, Non-Hispanic (NH); Other, Non-Hispanic (NH); and &gt;1 Race, Non-Hispanic (NH), which includes cohort members who identified with multiple races/ethnicities described above. </w:t>
      </w:r>
    </w:p>
    <w:p w14:paraId="1A611B9B" w14:textId="06D239C0" w:rsidR="003324A7" w:rsidRPr="00E24587" w:rsidRDefault="006121AA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6</w:t>
      </w:r>
      <w:r w:rsidR="00F4716B" w:rsidRPr="00E24587">
        <w:rPr>
          <w:rFonts w:ascii="Arial" w:hAnsi="Arial" w:cs="Arial"/>
          <w:sz w:val="18"/>
          <w:szCs w:val="18"/>
        </w:rPr>
        <w:t xml:space="preserve"> </w:t>
      </w:r>
      <w:r w:rsidR="00E70DDB" w:rsidRPr="00E24587">
        <w:rPr>
          <w:rFonts w:ascii="Arial" w:hAnsi="Arial" w:cs="Arial"/>
          <w:sz w:val="18"/>
          <w:szCs w:val="18"/>
        </w:rPr>
        <w:t xml:space="preserve">Health insurance was identified from all payors used within the cohort entry calendar year. Medicaid includes people who </w:t>
      </w:r>
      <w:proofErr w:type="gramStart"/>
      <w:r w:rsidR="00E70DDB" w:rsidRPr="00E24587">
        <w:rPr>
          <w:rFonts w:ascii="Arial" w:hAnsi="Arial" w:cs="Arial"/>
          <w:sz w:val="18"/>
          <w:szCs w:val="18"/>
        </w:rPr>
        <w:t>used</w:t>
      </w:r>
      <w:proofErr w:type="gramEnd"/>
      <w:r w:rsidR="00E70DDB" w:rsidRPr="00E24587">
        <w:rPr>
          <w:rFonts w:ascii="Arial" w:hAnsi="Arial" w:cs="Arial"/>
          <w:sz w:val="18"/>
          <w:szCs w:val="18"/>
        </w:rPr>
        <w:t xml:space="preserve"> both Medicaid and Medicare, but not commercial or other insurance types. Other insurance includes government payor programs and workers compensation. Uninsured includes Medical Assistance at PH-UTSW only.</w:t>
      </w:r>
    </w:p>
    <w:p w14:paraId="26ED0BCC" w14:textId="3626856B" w:rsidR="00FB64DE" w:rsidRPr="00E24587" w:rsidRDefault="006121AA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7</w:t>
      </w:r>
      <w:r w:rsidR="00F4716B" w:rsidRPr="00E24587">
        <w:rPr>
          <w:rFonts w:ascii="Arial" w:hAnsi="Arial" w:cs="Arial"/>
          <w:sz w:val="18"/>
          <w:szCs w:val="18"/>
        </w:rPr>
        <w:t xml:space="preserve"> </w:t>
      </w:r>
      <w:r w:rsidR="006B5DBC" w:rsidRPr="00E24587">
        <w:rPr>
          <w:rFonts w:ascii="Arial" w:hAnsi="Arial" w:cs="Arial"/>
          <w:sz w:val="18"/>
          <w:szCs w:val="18"/>
        </w:rPr>
        <w:t xml:space="preserve">Vaccinations were identified at any time prior to cohort entry through the day of cohort entry. </w:t>
      </w:r>
      <w:r w:rsidR="00E70DDB" w:rsidRPr="00E24587">
        <w:rPr>
          <w:rFonts w:ascii="Arial" w:hAnsi="Arial" w:cs="Arial"/>
          <w:sz w:val="18"/>
          <w:szCs w:val="18"/>
        </w:rPr>
        <w:t>All sites included vaccination data derived from the healthcare system</w:t>
      </w:r>
      <w:r w:rsidR="005256D9" w:rsidRPr="00E24587">
        <w:rPr>
          <w:rFonts w:ascii="Arial" w:hAnsi="Arial" w:cs="Arial"/>
          <w:sz w:val="18"/>
          <w:szCs w:val="18"/>
        </w:rPr>
        <w:t>.</w:t>
      </w:r>
      <w:r w:rsidR="00E70DDB" w:rsidRPr="00E24587">
        <w:rPr>
          <w:rFonts w:ascii="Arial" w:hAnsi="Arial" w:cs="Arial"/>
          <w:sz w:val="18"/>
          <w:szCs w:val="18"/>
        </w:rPr>
        <w:t xml:space="preserve"> Additionally, KPWA and MGB included vaccination data from state vaccination registries. Vaccines are reported only among those were age-eligible beginning in 2006.</w:t>
      </w:r>
      <w:r w:rsidR="00361142" w:rsidRPr="00E24587">
        <w:rPr>
          <w:rFonts w:ascii="Arial" w:hAnsi="Arial" w:cs="Arial"/>
          <w:sz w:val="18"/>
          <w:szCs w:val="18"/>
        </w:rPr>
        <w:t xml:space="preserve"> </w:t>
      </w:r>
    </w:p>
    <w:p w14:paraId="266A6781" w14:textId="6AD8BEDC" w:rsidR="00FB4463" w:rsidRPr="00E24587" w:rsidRDefault="006121AA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8</w:t>
      </w:r>
      <w:r w:rsidR="00F4716B" w:rsidRPr="00E24587">
        <w:rPr>
          <w:rFonts w:ascii="Arial" w:hAnsi="Arial" w:cs="Arial"/>
          <w:sz w:val="18"/>
          <w:szCs w:val="18"/>
        </w:rPr>
        <w:t xml:space="preserve"> </w:t>
      </w:r>
      <w:r w:rsidR="008778F5" w:rsidRPr="00E24587">
        <w:rPr>
          <w:rFonts w:ascii="Arial" w:hAnsi="Arial" w:cs="Arial"/>
          <w:sz w:val="18"/>
          <w:szCs w:val="18"/>
        </w:rPr>
        <w:t>A</w:t>
      </w:r>
      <w:r w:rsidR="00E70DDB" w:rsidRPr="00E24587">
        <w:rPr>
          <w:rFonts w:ascii="Arial" w:hAnsi="Arial" w:cs="Arial"/>
          <w:sz w:val="18"/>
          <w:szCs w:val="18"/>
        </w:rPr>
        <w:t xml:space="preserve">bnormality was identified </w:t>
      </w:r>
      <w:r w:rsidR="006B5DBC" w:rsidRPr="00E24587">
        <w:rPr>
          <w:rFonts w:ascii="Arial" w:hAnsi="Arial" w:cs="Arial"/>
          <w:sz w:val="18"/>
          <w:szCs w:val="18"/>
        </w:rPr>
        <w:t xml:space="preserve">up to three years prior to cohort entry </w:t>
      </w:r>
      <w:r w:rsidR="00E70DDB" w:rsidRPr="00E24587">
        <w:rPr>
          <w:rFonts w:ascii="Arial" w:hAnsi="Arial" w:cs="Arial"/>
          <w:sz w:val="18"/>
          <w:szCs w:val="18"/>
        </w:rPr>
        <w:t xml:space="preserve">either </w:t>
      </w:r>
      <w:r w:rsidR="006B5DBC" w:rsidRPr="00E24587">
        <w:rPr>
          <w:rFonts w:ascii="Arial" w:hAnsi="Arial" w:cs="Arial"/>
          <w:sz w:val="18"/>
          <w:szCs w:val="18"/>
        </w:rPr>
        <w:t xml:space="preserve">through </w:t>
      </w:r>
      <w:r w:rsidR="00E70DDB" w:rsidRPr="00E24587">
        <w:rPr>
          <w:rFonts w:ascii="Arial" w:hAnsi="Arial" w:cs="Arial"/>
          <w:sz w:val="18"/>
          <w:szCs w:val="18"/>
        </w:rPr>
        <w:t xml:space="preserve">documentation in the healthcare system of a cytology result as or more severe than atypical squamous cells of undetermined significance (ASC-US), an HPV-positive test result regardless of strain, or a cervical procedure, including a </w:t>
      </w:r>
      <w:r w:rsidR="008E768C" w:rsidRPr="00E24587">
        <w:rPr>
          <w:rFonts w:ascii="Arial" w:hAnsi="Arial" w:cs="Arial"/>
          <w:sz w:val="18"/>
          <w:szCs w:val="18"/>
        </w:rPr>
        <w:t>biopsy or excisional treatment</w:t>
      </w:r>
      <w:r w:rsidR="00E70DDB" w:rsidRPr="00E24587">
        <w:rPr>
          <w:rFonts w:ascii="Arial" w:hAnsi="Arial" w:cs="Arial"/>
          <w:sz w:val="18"/>
          <w:szCs w:val="18"/>
        </w:rPr>
        <w:t>.</w:t>
      </w:r>
    </w:p>
    <w:p w14:paraId="6BBE0571" w14:textId="75EB7BAF" w:rsidR="00B951FB" w:rsidRPr="00E24587" w:rsidRDefault="006121AA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9</w:t>
      </w:r>
      <w:r w:rsidR="00F4716B" w:rsidRPr="00E24587">
        <w:rPr>
          <w:rFonts w:ascii="Arial" w:hAnsi="Arial" w:cs="Arial"/>
          <w:sz w:val="18"/>
          <w:szCs w:val="18"/>
        </w:rPr>
        <w:t xml:space="preserve"> </w:t>
      </w:r>
      <w:r w:rsidR="008E768C" w:rsidRPr="00E24587">
        <w:rPr>
          <w:rFonts w:ascii="Arial" w:hAnsi="Arial" w:cs="Arial"/>
          <w:sz w:val="18"/>
          <w:szCs w:val="18"/>
        </w:rPr>
        <w:t>Primary care encounters included completed in-person (20</w:t>
      </w:r>
      <w:r w:rsidR="008778F5" w:rsidRPr="00E24587">
        <w:rPr>
          <w:rFonts w:ascii="Arial" w:hAnsi="Arial" w:cs="Arial"/>
          <w:sz w:val="18"/>
          <w:szCs w:val="18"/>
        </w:rPr>
        <w:t>07</w:t>
      </w:r>
      <w:r w:rsidR="008E768C" w:rsidRPr="00E24587">
        <w:rPr>
          <w:rFonts w:ascii="Arial" w:hAnsi="Arial" w:cs="Arial"/>
          <w:sz w:val="18"/>
          <w:szCs w:val="18"/>
        </w:rPr>
        <w:t>-2020) or telehealth (2019-2020) visits with additional site-specific criteria as follows: at KPWA, a visit with either a physician, physician’s assistant, nurse practitioner, or unknown provider type within a family practice, internal medicine, pediatrics, obstetrics/gynecology, gerontology, or adolescent medicine clinic; at MGB, at an affiliated primary care or women’s health clinic; and at PH-UTSW, a visit with either a physician, nurse practitioner, or physician’s assistant within a community health, family practice, internal medicine, women’s health, geriatrics, gynecology, or HIV clinic</w:t>
      </w:r>
      <w:r w:rsidR="003324A7" w:rsidRPr="00E24587">
        <w:rPr>
          <w:rFonts w:ascii="Arial" w:hAnsi="Arial" w:cs="Arial"/>
          <w:sz w:val="18"/>
          <w:szCs w:val="18"/>
        </w:rPr>
        <w:t>.</w:t>
      </w:r>
    </w:p>
    <w:p w14:paraId="186237B5" w14:textId="43148D65" w:rsidR="00AA0B3C" w:rsidRPr="00E24587" w:rsidRDefault="006121AA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lastRenderedPageBreak/>
        <w:t>10</w:t>
      </w:r>
      <w:r w:rsidR="00AA0B3C" w:rsidRPr="00E24587">
        <w:rPr>
          <w:rFonts w:ascii="Arial" w:hAnsi="Arial" w:cs="Arial"/>
          <w:sz w:val="18"/>
          <w:szCs w:val="18"/>
        </w:rPr>
        <w:t xml:space="preserve"> Indicates cohort members with a documented total or radical hysterectomy or trachelectomy (all sites) or a surgical history note of prior cervix removal (KPWA)</w:t>
      </w:r>
      <w:r w:rsidR="0064749A" w:rsidRPr="00E24587">
        <w:rPr>
          <w:rFonts w:ascii="Arial" w:hAnsi="Arial" w:cs="Arial"/>
          <w:sz w:val="18"/>
          <w:szCs w:val="18"/>
        </w:rPr>
        <w:t xml:space="preserve"> up to three years prior to cohort entry through the day of cohort entry</w:t>
      </w:r>
      <w:r w:rsidR="00AA0B3C" w:rsidRPr="00E24587">
        <w:rPr>
          <w:rFonts w:ascii="Arial" w:hAnsi="Arial" w:cs="Arial"/>
          <w:sz w:val="18"/>
          <w:szCs w:val="18"/>
        </w:rPr>
        <w:t>.</w:t>
      </w:r>
    </w:p>
    <w:p w14:paraId="164C146E" w14:textId="27BB5F63" w:rsidR="00AA0B3C" w:rsidRPr="00E24587" w:rsidRDefault="005C25A5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</w:t>
      </w:r>
      <w:r w:rsidR="006121AA" w:rsidRPr="00E24587">
        <w:rPr>
          <w:rFonts w:ascii="Arial" w:hAnsi="Arial" w:cs="Arial"/>
          <w:sz w:val="18"/>
          <w:szCs w:val="18"/>
          <w:vertAlign w:val="superscript"/>
        </w:rPr>
        <w:t>1</w:t>
      </w:r>
      <w:r w:rsidR="00AA0B3C" w:rsidRPr="00E24587">
        <w:rPr>
          <w:rFonts w:ascii="Arial" w:hAnsi="Arial" w:cs="Arial"/>
          <w:sz w:val="18"/>
          <w:szCs w:val="18"/>
        </w:rPr>
        <w:t xml:space="preserve"> HIV diagnosis was identified </w:t>
      </w:r>
      <w:r w:rsidR="006B5DBC" w:rsidRPr="00E24587">
        <w:rPr>
          <w:rFonts w:ascii="Arial" w:hAnsi="Arial" w:cs="Arial"/>
          <w:sz w:val="18"/>
          <w:szCs w:val="18"/>
        </w:rPr>
        <w:t xml:space="preserve">at any time prior to cohort entry through the day of cohort entry </w:t>
      </w:r>
      <w:r w:rsidR="00AA0B3C" w:rsidRPr="00E24587">
        <w:rPr>
          <w:rFonts w:ascii="Arial" w:hAnsi="Arial" w:cs="Arial"/>
          <w:sz w:val="18"/>
          <w:szCs w:val="18"/>
        </w:rPr>
        <w:t>through ICD-9 and ICD-10 diagnostic codes (all sites) as well as chart review (KPWA) or disease-staging assays and special clinic visits (PH-UTSW).</w:t>
      </w:r>
    </w:p>
    <w:p w14:paraId="654ABDAA" w14:textId="774FA7B2" w:rsidR="00AA0B3C" w:rsidRPr="00E24587" w:rsidRDefault="00AA0B3C" w:rsidP="00AA0B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</w:t>
      </w:r>
      <w:r w:rsidR="006121AA" w:rsidRPr="00E24587">
        <w:rPr>
          <w:rFonts w:ascii="Arial" w:hAnsi="Arial" w:cs="Arial"/>
          <w:sz w:val="18"/>
          <w:szCs w:val="18"/>
          <w:vertAlign w:val="superscript"/>
        </w:rPr>
        <w:t>2</w:t>
      </w:r>
      <w:r w:rsidRPr="00E24587">
        <w:rPr>
          <w:rFonts w:ascii="Arial" w:hAnsi="Arial" w:cs="Arial"/>
          <w:sz w:val="18"/>
          <w:szCs w:val="18"/>
        </w:rPr>
        <w:t xml:space="preserve"> </w:t>
      </w:r>
      <w:r w:rsidR="00EE1C47" w:rsidRPr="00E24587">
        <w:rPr>
          <w:rFonts w:ascii="Arial" w:hAnsi="Arial" w:cs="Arial"/>
          <w:sz w:val="18"/>
          <w:szCs w:val="18"/>
        </w:rPr>
        <w:t>Indicates composite Yost state-based quintile score</w:t>
      </w:r>
      <w:r w:rsidR="0064749A" w:rsidRPr="00E24587">
        <w:rPr>
          <w:rFonts w:ascii="Arial" w:hAnsi="Arial" w:cs="Arial"/>
          <w:sz w:val="18"/>
          <w:szCs w:val="18"/>
        </w:rPr>
        <w:t xml:space="preserve"> identified based on census tract of residence at cohort entry</w:t>
      </w:r>
      <w:r w:rsidR="00EE1C47" w:rsidRPr="00E24587">
        <w:rPr>
          <w:rFonts w:ascii="Arial" w:hAnsi="Arial" w:cs="Arial"/>
          <w:sz w:val="18"/>
          <w:szCs w:val="18"/>
        </w:rPr>
        <w:t xml:space="preserve">. </w:t>
      </w:r>
      <w:r w:rsidRPr="00E24587">
        <w:rPr>
          <w:rFonts w:ascii="Arial" w:hAnsi="Arial" w:cs="Arial"/>
          <w:sz w:val="18"/>
          <w:szCs w:val="18"/>
        </w:rPr>
        <w:t>Most (93.97%) cohort members were from an urban census tract based on RUCA4A</w:t>
      </w:r>
      <w:r w:rsidR="00EE1C47" w:rsidRPr="00E24587">
        <w:rPr>
          <w:rFonts w:ascii="Arial" w:hAnsi="Arial" w:cs="Arial"/>
          <w:sz w:val="18"/>
          <w:szCs w:val="18"/>
        </w:rPr>
        <w:t xml:space="preserve"> at cohort entry</w:t>
      </w:r>
      <w:r w:rsidRPr="00E24587">
        <w:rPr>
          <w:rFonts w:ascii="Arial" w:hAnsi="Arial" w:cs="Arial"/>
          <w:sz w:val="18"/>
          <w:szCs w:val="18"/>
        </w:rPr>
        <w:t>.</w:t>
      </w:r>
    </w:p>
    <w:p w14:paraId="4819977C" w14:textId="5CEB59DB" w:rsidR="00B6509C" w:rsidRPr="00E24587" w:rsidRDefault="00EE1C47" w:rsidP="00EE1C4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</w:t>
      </w:r>
      <w:r w:rsidR="006121AA" w:rsidRPr="00E24587">
        <w:rPr>
          <w:rFonts w:ascii="Arial" w:hAnsi="Arial" w:cs="Arial"/>
          <w:sz w:val="18"/>
          <w:szCs w:val="18"/>
          <w:vertAlign w:val="superscript"/>
        </w:rPr>
        <w:t>3</w:t>
      </w:r>
      <w:r w:rsidR="00D116B8" w:rsidRPr="00E24587">
        <w:rPr>
          <w:rFonts w:ascii="Arial" w:hAnsi="Arial" w:cs="Arial"/>
          <w:sz w:val="18"/>
          <w:szCs w:val="18"/>
        </w:rPr>
        <w:t xml:space="preserve"> </w:t>
      </w:r>
      <w:r w:rsidRPr="00E24587">
        <w:rPr>
          <w:rFonts w:ascii="Arial" w:hAnsi="Arial" w:cs="Arial"/>
          <w:sz w:val="18"/>
          <w:szCs w:val="18"/>
        </w:rPr>
        <w:t>Cervical cancers were identified from central registries (SEER registry, KPWA; hospital then state registries, MGB; and state then hospital registries, PH-UTSW</w:t>
      </w:r>
      <w:r w:rsidR="00FB7C67" w:rsidRPr="00E24587">
        <w:rPr>
          <w:rFonts w:ascii="Arial" w:hAnsi="Arial" w:cs="Arial"/>
          <w:sz w:val="18"/>
          <w:szCs w:val="18"/>
        </w:rPr>
        <w:t>)</w:t>
      </w:r>
      <w:r w:rsidRPr="00E24587">
        <w:rPr>
          <w:rFonts w:ascii="Arial" w:hAnsi="Arial" w:cs="Arial"/>
          <w:sz w:val="18"/>
          <w:szCs w:val="18"/>
        </w:rPr>
        <w:t>.</w:t>
      </w:r>
      <w:r w:rsidR="009312AB" w:rsidRPr="00E24587">
        <w:rPr>
          <w:rFonts w:ascii="Arial" w:hAnsi="Arial" w:cs="Arial"/>
          <w:sz w:val="18"/>
          <w:szCs w:val="18"/>
        </w:rPr>
        <w:t xml:space="preserve"> </w:t>
      </w:r>
      <w:r w:rsidRPr="00E24587">
        <w:rPr>
          <w:rFonts w:ascii="Arial" w:hAnsi="Arial" w:cs="Arial"/>
          <w:sz w:val="18"/>
          <w:szCs w:val="18"/>
        </w:rPr>
        <w:t>Most cancers diagnosed were squamous cell carcinoma (59.45%), then adenocarcinomas (23.81%), then other cancers (16.74%). Other cancers included</w:t>
      </w:r>
      <w:r w:rsidR="003B271F" w:rsidRPr="00E24587">
        <w:rPr>
          <w:rFonts w:ascii="Arial" w:hAnsi="Arial" w:cs="Arial"/>
          <w:sz w:val="18"/>
          <w:szCs w:val="18"/>
        </w:rPr>
        <w:t xml:space="preserve"> carcinoma not otherwise specified, glassy cell carcinoma, small cell carcinoma, adenoid basal cell carcinoma, transitional cell carcinoma, neuroendocrine carcinoma, </w:t>
      </w:r>
      <w:proofErr w:type="spellStart"/>
      <w:r w:rsidR="003B271F" w:rsidRPr="00E24587">
        <w:rPr>
          <w:rFonts w:ascii="Arial" w:hAnsi="Arial" w:cs="Arial"/>
          <w:sz w:val="18"/>
          <w:szCs w:val="18"/>
        </w:rPr>
        <w:t>adenosquamous</w:t>
      </w:r>
      <w:proofErr w:type="spellEnd"/>
      <w:r w:rsidR="003B271F" w:rsidRPr="00E24587">
        <w:rPr>
          <w:rFonts w:ascii="Arial" w:hAnsi="Arial" w:cs="Arial"/>
          <w:sz w:val="18"/>
          <w:szCs w:val="18"/>
        </w:rPr>
        <w:t xml:space="preserve"> carcinoma, malignant melanoma, sarcoma, adenosarcoma, Mullerian mixed tumor, carcinosarcoma, </w:t>
      </w:r>
      <w:proofErr w:type="spellStart"/>
      <w:r w:rsidR="003B271F" w:rsidRPr="00E24587">
        <w:rPr>
          <w:rFonts w:ascii="Arial" w:hAnsi="Arial" w:cs="Arial"/>
          <w:sz w:val="18"/>
          <w:szCs w:val="18"/>
        </w:rPr>
        <w:t>mesonephroma</w:t>
      </w:r>
      <w:proofErr w:type="spellEnd"/>
      <w:r w:rsidR="003B271F" w:rsidRPr="00E24587">
        <w:rPr>
          <w:rFonts w:ascii="Arial" w:hAnsi="Arial" w:cs="Arial"/>
          <w:sz w:val="18"/>
          <w:szCs w:val="18"/>
        </w:rPr>
        <w:t>, and follicular lymphoma.</w:t>
      </w:r>
    </w:p>
    <w:p w14:paraId="3544AB11" w14:textId="3F776134" w:rsidR="006121AA" w:rsidRPr="00E24587" w:rsidRDefault="006121AA" w:rsidP="00EE1C4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14</w:t>
      </w:r>
      <w:r w:rsidRPr="00E24587">
        <w:rPr>
          <w:rFonts w:ascii="Arial" w:hAnsi="Arial" w:cs="Arial"/>
          <w:sz w:val="18"/>
          <w:szCs w:val="18"/>
        </w:rPr>
        <w:t xml:space="preserve"> Cervical cancer counts are not mutually exclusive with AIS/CIS counts, as some patients diagnosed with AIS and/or CIS went on to develop cervical cancer in the cohort</w:t>
      </w:r>
      <w:r w:rsidR="00CA7556" w:rsidRPr="00E24587">
        <w:rPr>
          <w:rFonts w:ascii="Arial" w:hAnsi="Arial" w:cs="Arial"/>
          <w:sz w:val="18"/>
          <w:szCs w:val="18"/>
        </w:rPr>
        <w:t xml:space="preserve"> (</w:t>
      </w:r>
      <w:r w:rsidR="00FB7C67" w:rsidRPr="00E24587">
        <w:rPr>
          <w:rFonts w:ascii="Arial" w:hAnsi="Arial" w:cs="Arial"/>
          <w:sz w:val="18"/>
          <w:szCs w:val="18"/>
        </w:rPr>
        <w:t>N</w:t>
      </w:r>
      <w:r w:rsidR="00CA7556" w:rsidRPr="00E24587">
        <w:rPr>
          <w:rFonts w:ascii="Arial" w:hAnsi="Arial" w:cs="Arial"/>
          <w:sz w:val="18"/>
          <w:szCs w:val="18"/>
        </w:rPr>
        <w:t>=173, 24.96% of cervical cancer cases)</w:t>
      </w:r>
      <w:r w:rsidRPr="00E24587">
        <w:rPr>
          <w:rFonts w:ascii="Arial" w:hAnsi="Arial" w:cs="Arial"/>
          <w:sz w:val="18"/>
          <w:szCs w:val="18"/>
        </w:rPr>
        <w:t>. Some patients were diagnosed multiple times with AIS and/or CIS</w:t>
      </w:r>
      <w:r w:rsidR="00CA7556" w:rsidRPr="00E24587">
        <w:rPr>
          <w:rFonts w:ascii="Arial" w:hAnsi="Arial" w:cs="Arial"/>
          <w:sz w:val="18"/>
          <w:szCs w:val="18"/>
        </w:rPr>
        <w:t xml:space="preserve"> (N=5,344 total cohort AIS/CIS diagnoses)</w:t>
      </w:r>
      <w:r w:rsidRPr="00E24587">
        <w:rPr>
          <w:rFonts w:ascii="Arial" w:hAnsi="Arial" w:cs="Arial"/>
          <w:sz w:val="18"/>
          <w:szCs w:val="18"/>
        </w:rPr>
        <w:t xml:space="preserve">. </w:t>
      </w:r>
    </w:p>
    <w:p w14:paraId="5873C064" w14:textId="20B46D6E" w:rsidR="0064749A" w:rsidRPr="00E24587" w:rsidRDefault="003B271F" w:rsidP="00747FB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</w:t>
      </w:r>
      <w:r w:rsidR="006121AA" w:rsidRPr="00E24587">
        <w:rPr>
          <w:rFonts w:ascii="Arial" w:hAnsi="Arial" w:cs="Arial"/>
          <w:sz w:val="18"/>
          <w:szCs w:val="18"/>
          <w:vertAlign w:val="superscript"/>
        </w:rPr>
        <w:t>5</w:t>
      </w:r>
      <w:r w:rsidRPr="00E24587">
        <w:rPr>
          <w:rFonts w:ascii="Arial" w:hAnsi="Arial" w:cs="Arial"/>
          <w:sz w:val="18"/>
          <w:szCs w:val="18"/>
        </w:rPr>
        <w:t xml:space="preserve"> </w:t>
      </w:r>
      <w:r w:rsidR="0064749A" w:rsidRPr="00E24587">
        <w:rPr>
          <w:rFonts w:ascii="Arial" w:hAnsi="Arial" w:cs="Arial"/>
          <w:sz w:val="18"/>
          <w:szCs w:val="18"/>
        </w:rPr>
        <w:t>Cervical procedures included colposcopy/biopsy, which also included endocervical curettage, or excisional treatment, which included loop electrosurgical excision procedure, cone biopsy, cryotherapy, laser, or other excisional procedure not otherwise specified.</w:t>
      </w:r>
    </w:p>
    <w:p w14:paraId="70921F76" w14:textId="02F8F2A4" w:rsidR="00BC4697" w:rsidRPr="00E24587" w:rsidRDefault="0064749A" w:rsidP="00747FB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</w:t>
      </w:r>
      <w:r w:rsidR="006121AA" w:rsidRPr="00E24587">
        <w:rPr>
          <w:rFonts w:ascii="Arial" w:hAnsi="Arial" w:cs="Arial"/>
          <w:sz w:val="18"/>
          <w:szCs w:val="18"/>
          <w:vertAlign w:val="superscript"/>
        </w:rPr>
        <w:t>6</w:t>
      </w:r>
      <w:r w:rsidRPr="00E24587">
        <w:rPr>
          <w:rFonts w:ascii="Arial" w:hAnsi="Arial" w:cs="Arial"/>
          <w:sz w:val="18"/>
          <w:szCs w:val="18"/>
        </w:rPr>
        <w:t xml:space="preserve"> </w:t>
      </w:r>
      <w:r w:rsidR="003B271F" w:rsidRPr="00E24587">
        <w:rPr>
          <w:rFonts w:ascii="Arial" w:hAnsi="Arial" w:cs="Arial"/>
          <w:sz w:val="18"/>
          <w:szCs w:val="18"/>
        </w:rPr>
        <w:t>Pregnancy was documented when cohort member was pregnant at some time during the cohort period and may have either started before cohort entry or continued after cohort exit.</w:t>
      </w:r>
    </w:p>
    <w:p w14:paraId="68DAAFAA" w14:textId="3046409D" w:rsidR="006121AA" w:rsidRPr="00E24587" w:rsidRDefault="006121AA" w:rsidP="00747FB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17</w:t>
      </w:r>
      <w:r w:rsidRPr="00E24587">
        <w:rPr>
          <w:rFonts w:ascii="Arial" w:hAnsi="Arial" w:cs="Arial"/>
          <w:sz w:val="18"/>
          <w:szCs w:val="18"/>
        </w:rPr>
        <w:t xml:space="preserve"> Reports per-event counts.</w:t>
      </w:r>
    </w:p>
    <w:p w14:paraId="1F0DC898" w14:textId="5E5EAD77" w:rsidR="003B271F" w:rsidRPr="00E24587" w:rsidRDefault="003B271F" w:rsidP="00747FB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</w:t>
      </w:r>
      <w:r w:rsidR="006121AA" w:rsidRPr="00E24587">
        <w:rPr>
          <w:rFonts w:ascii="Arial" w:hAnsi="Arial" w:cs="Arial"/>
          <w:sz w:val="18"/>
          <w:szCs w:val="18"/>
          <w:vertAlign w:val="superscript"/>
        </w:rPr>
        <w:t>8</w:t>
      </w:r>
      <w:r w:rsidRPr="00E24587">
        <w:rPr>
          <w:rFonts w:ascii="Arial" w:hAnsi="Arial" w:cs="Arial"/>
          <w:sz w:val="18"/>
          <w:szCs w:val="18"/>
        </w:rPr>
        <w:t xml:space="preserve"> Indicates </w:t>
      </w:r>
      <w:r w:rsidR="005C25A5" w:rsidRPr="00E24587">
        <w:rPr>
          <w:rFonts w:ascii="Arial" w:hAnsi="Arial" w:cs="Arial"/>
          <w:sz w:val="18"/>
          <w:szCs w:val="18"/>
        </w:rPr>
        <w:t>ordering</w:t>
      </w:r>
      <w:r w:rsidRPr="00E24587">
        <w:rPr>
          <w:rFonts w:ascii="Arial" w:hAnsi="Arial" w:cs="Arial"/>
          <w:sz w:val="18"/>
          <w:szCs w:val="18"/>
        </w:rPr>
        <w:t xml:space="preserve"> provider</w:t>
      </w:r>
      <w:r w:rsidR="0059030F" w:rsidRPr="00E24587">
        <w:rPr>
          <w:rFonts w:ascii="Arial" w:hAnsi="Arial" w:cs="Arial"/>
          <w:sz w:val="18"/>
          <w:szCs w:val="18"/>
        </w:rPr>
        <w:t>s</w:t>
      </w:r>
      <w:r w:rsidRPr="00E24587">
        <w:rPr>
          <w:rFonts w:ascii="Arial" w:hAnsi="Arial" w:cs="Arial"/>
          <w:sz w:val="18"/>
          <w:szCs w:val="18"/>
        </w:rPr>
        <w:t xml:space="preserve"> for all primary care encounters, Pap/HPV tests, and procedures completed during the cohort period.</w:t>
      </w:r>
    </w:p>
    <w:p w14:paraId="29D582CB" w14:textId="15859D78" w:rsidR="003B271F" w:rsidRPr="003B271F" w:rsidRDefault="003B271F" w:rsidP="00747FB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24587">
        <w:rPr>
          <w:rFonts w:ascii="Arial" w:hAnsi="Arial" w:cs="Arial"/>
          <w:sz w:val="18"/>
          <w:szCs w:val="18"/>
          <w:vertAlign w:val="superscript"/>
        </w:rPr>
        <w:t>1</w:t>
      </w:r>
      <w:r w:rsidR="006121AA" w:rsidRPr="00E24587">
        <w:rPr>
          <w:rFonts w:ascii="Arial" w:hAnsi="Arial" w:cs="Arial"/>
          <w:sz w:val="18"/>
          <w:szCs w:val="18"/>
          <w:vertAlign w:val="superscript"/>
        </w:rPr>
        <w:t>9</w:t>
      </w:r>
      <w:r w:rsidRPr="00E24587">
        <w:rPr>
          <w:rFonts w:ascii="Arial" w:hAnsi="Arial" w:cs="Arial"/>
          <w:sz w:val="18"/>
          <w:szCs w:val="18"/>
        </w:rPr>
        <w:t xml:space="preserve"> Indicates all facilities (primary care, women’s health, or HIV clinics) at which a primary care encounter, Pap/HPV test, or procedure occurred during the cohort period.</w:t>
      </w:r>
    </w:p>
    <w:sectPr w:rsidR="003B271F" w:rsidRPr="003B271F" w:rsidSect="0031103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DBE6B" w14:textId="77777777" w:rsidR="002A7F2A" w:rsidRDefault="002A7F2A">
      <w:pPr>
        <w:spacing w:after="0" w:line="240" w:lineRule="auto"/>
      </w:pPr>
      <w:r>
        <w:separator/>
      </w:r>
    </w:p>
  </w:endnote>
  <w:endnote w:type="continuationSeparator" w:id="0">
    <w:p w14:paraId="4C399F12" w14:textId="77777777" w:rsidR="002A7F2A" w:rsidRDefault="002A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4FCB" w14:textId="77777777" w:rsidR="002A7F2A" w:rsidRDefault="002A7F2A">
      <w:pPr>
        <w:spacing w:after="0" w:line="240" w:lineRule="auto"/>
      </w:pPr>
      <w:r>
        <w:separator/>
      </w:r>
    </w:p>
  </w:footnote>
  <w:footnote w:type="continuationSeparator" w:id="0">
    <w:p w14:paraId="6E721234" w14:textId="77777777" w:rsidR="002A7F2A" w:rsidRDefault="002A7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46340"/>
    <w:multiLevelType w:val="multilevel"/>
    <w:tmpl w:val="AD54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F5314"/>
    <w:multiLevelType w:val="hybridMultilevel"/>
    <w:tmpl w:val="C750E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E1759"/>
    <w:multiLevelType w:val="hybridMultilevel"/>
    <w:tmpl w:val="768C5F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F6476"/>
    <w:multiLevelType w:val="hybridMultilevel"/>
    <w:tmpl w:val="C7A6D702"/>
    <w:lvl w:ilvl="0" w:tplc="564C14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90FE0"/>
    <w:multiLevelType w:val="hybridMultilevel"/>
    <w:tmpl w:val="788E6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B1C6C"/>
    <w:multiLevelType w:val="hybridMultilevel"/>
    <w:tmpl w:val="32CC1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367C3C"/>
    <w:multiLevelType w:val="hybridMultilevel"/>
    <w:tmpl w:val="C4D0D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129F0"/>
    <w:multiLevelType w:val="hybridMultilevel"/>
    <w:tmpl w:val="6D12DD7E"/>
    <w:lvl w:ilvl="0" w:tplc="C6A2B6EE">
      <w:start w:val="1"/>
      <w:numFmt w:val="lowerLetter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1DE523E5"/>
    <w:multiLevelType w:val="hybridMultilevel"/>
    <w:tmpl w:val="2BB40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83EEA"/>
    <w:multiLevelType w:val="hybridMultilevel"/>
    <w:tmpl w:val="7062D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11C0B"/>
    <w:multiLevelType w:val="hybridMultilevel"/>
    <w:tmpl w:val="61381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A1FDC"/>
    <w:multiLevelType w:val="hybridMultilevel"/>
    <w:tmpl w:val="B0B23F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C770B3A"/>
    <w:multiLevelType w:val="hybridMultilevel"/>
    <w:tmpl w:val="CC48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11D83"/>
    <w:multiLevelType w:val="hybridMultilevel"/>
    <w:tmpl w:val="CDA6E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A5640"/>
    <w:multiLevelType w:val="hybridMultilevel"/>
    <w:tmpl w:val="BFA0F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057D8"/>
    <w:multiLevelType w:val="hybridMultilevel"/>
    <w:tmpl w:val="1B5C15BC"/>
    <w:lvl w:ilvl="0" w:tplc="93BC39C2">
      <w:start w:val="1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24B84"/>
    <w:multiLevelType w:val="hybridMultilevel"/>
    <w:tmpl w:val="8F8A0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E6F10"/>
    <w:multiLevelType w:val="hybridMultilevel"/>
    <w:tmpl w:val="F8546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A07F9"/>
    <w:multiLevelType w:val="hybridMultilevel"/>
    <w:tmpl w:val="28E2EE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D12E2D"/>
    <w:multiLevelType w:val="hybridMultilevel"/>
    <w:tmpl w:val="56462A24"/>
    <w:lvl w:ilvl="0" w:tplc="336405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FE5824"/>
    <w:multiLevelType w:val="hybridMultilevel"/>
    <w:tmpl w:val="6068D422"/>
    <w:lvl w:ilvl="0" w:tplc="93BC39C2">
      <w:start w:val="1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A0D26"/>
    <w:multiLevelType w:val="hybridMultilevel"/>
    <w:tmpl w:val="56462A24"/>
    <w:lvl w:ilvl="0" w:tplc="336405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C194597"/>
    <w:multiLevelType w:val="hybridMultilevel"/>
    <w:tmpl w:val="768C5F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FEB562F"/>
    <w:multiLevelType w:val="hybridMultilevel"/>
    <w:tmpl w:val="B92091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99799F"/>
    <w:multiLevelType w:val="hybridMultilevel"/>
    <w:tmpl w:val="232CA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BA3B06"/>
    <w:multiLevelType w:val="hybridMultilevel"/>
    <w:tmpl w:val="3788C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744F83"/>
    <w:multiLevelType w:val="hybridMultilevel"/>
    <w:tmpl w:val="2A0A1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36C0C"/>
    <w:multiLevelType w:val="hybridMultilevel"/>
    <w:tmpl w:val="9D949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387927">
    <w:abstractNumId w:val="9"/>
  </w:num>
  <w:num w:numId="2" w16cid:durableId="20369559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8463633">
    <w:abstractNumId w:val="18"/>
  </w:num>
  <w:num w:numId="4" w16cid:durableId="705982883">
    <w:abstractNumId w:val="19"/>
  </w:num>
  <w:num w:numId="5" w16cid:durableId="746419529">
    <w:abstractNumId w:val="23"/>
  </w:num>
  <w:num w:numId="6" w16cid:durableId="1557740742">
    <w:abstractNumId w:val="7"/>
  </w:num>
  <w:num w:numId="7" w16cid:durableId="811873037">
    <w:abstractNumId w:val="11"/>
  </w:num>
  <w:num w:numId="8" w16cid:durableId="1916894957">
    <w:abstractNumId w:val="2"/>
  </w:num>
  <w:num w:numId="9" w16cid:durableId="96946853">
    <w:abstractNumId w:val="21"/>
  </w:num>
  <w:num w:numId="10" w16cid:durableId="1805274985">
    <w:abstractNumId w:val="22"/>
  </w:num>
  <w:num w:numId="11" w16cid:durableId="2126272430">
    <w:abstractNumId w:val="6"/>
  </w:num>
  <w:num w:numId="12" w16cid:durableId="1002129419">
    <w:abstractNumId w:val="13"/>
  </w:num>
  <w:num w:numId="13" w16cid:durableId="1647122787">
    <w:abstractNumId w:val="26"/>
  </w:num>
  <w:num w:numId="14" w16cid:durableId="1624072482">
    <w:abstractNumId w:val="12"/>
  </w:num>
  <w:num w:numId="15" w16cid:durableId="1613324797">
    <w:abstractNumId w:val="27"/>
  </w:num>
  <w:num w:numId="16" w16cid:durableId="1821458259">
    <w:abstractNumId w:val="8"/>
  </w:num>
  <w:num w:numId="17" w16cid:durableId="1248687051">
    <w:abstractNumId w:val="16"/>
  </w:num>
  <w:num w:numId="18" w16cid:durableId="1964920261">
    <w:abstractNumId w:val="3"/>
  </w:num>
  <w:num w:numId="19" w16cid:durableId="2143040614">
    <w:abstractNumId w:val="0"/>
  </w:num>
  <w:num w:numId="20" w16cid:durableId="314770748">
    <w:abstractNumId w:val="15"/>
  </w:num>
  <w:num w:numId="21" w16cid:durableId="1628388786">
    <w:abstractNumId w:val="20"/>
  </w:num>
  <w:num w:numId="22" w16cid:durableId="1856259731">
    <w:abstractNumId w:val="25"/>
  </w:num>
  <w:num w:numId="23" w16cid:durableId="1965890791">
    <w:abstractNumId w:val="5"/>
  </w:num>
  <w:num w:numId="24" w16cid:durableId="1893466306">
    <w:abstractNumId w:val="1"/>
  </w:num>
  <w:num w:numId="25" w16cid:durableId="1735590654">
    <w:abstractNumId w:val="4"/>
  </w:num>
  <w:num w:numId="26" w16cid:durableId="339742308">
    <w:abstractNumId w:val="10"/>
  </w:num>
  <w:num w:numId="27" w16cid:durableId="466703169">
    <w:abstractNumId w:val="17"/>
  </w:num>
  <w:num w:numId="28" w16cid:durableId="14852220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/ENLayout&gt;"/>
    <w:docVar w:name="EN.Libraries" w:val="&lt;Libraries&gt;&lt;item db-id=&quot;z9erxepf7dpsazetw26xtw2ka5pd90deae9a&quot;&gt;aruna&lt;record-ids&gt;&lt;item&gt;241&lt;/item&gt;&lt;item&gt;439&lt;/item&gt;&lt;item&gt;440&lt;/item&gt;&lt;item&gt;446&lt;/item&gt;&lt;item&gt;447&lt;/item&gt;&lt;item&gt;448&lt;/item&gt;&lt;item&gt;452&lt;/item&gt;&lt;item&gt;453&lt;/item&gt;&lt;item&gt;454&lt;/item&gt;&lt;item&gt;455&lt;/item&gt;&lt;item&gt;456&lt;/item&gt;&lt;item&gt;457&lt;/item&gt;&lt;item&gt;458&lt;/item&gt;&lt;item&gt;459&lt;/item&gt;&lt;item&gt;460&lt;/item&gt;&lt;item&gt;461&lt;/item&gt;&lt;item&gt;462&lt;/item&gt;&lt;item&gt;463&lt;/item&gt;&lt;item&gt;464&lt;/item&gt;&lt;/record-ids&gt;&lt;/item&gt;&lt;/Libraries&gt;"/>
  </w:docVars>
  <w:rsids>
    <w:rsidRoot w:val="006D2517"/>
    <w:rsid w:val="000007D5"/>
    <w:rsid w:val="000042C2"/>
    <w:rsid w:val="00004E11"/>
    <w:rsid w:val="00005E35"/>
    <w:rsid w:val="000067AF"/>
    <w:rsid w:val="0001048A"/>
    <w:rsid w:val="00010871"/>
    <w:rsid w:val="00011A35"/>
    <w:rsid w:val="00012147"/>
    <w:rsid w:val="00015EE5"/>
    <w:rsid w:val="00016696"/>
    <w:rsid w:val="00023E5A"/>
    <w:rsid w:val="00023E84"/>
    <w:rsid w:val="0002429E"/>
    <w:rsid w:val="000252D2"/>
    <w:rsid w:val="00025980"/>
    <w:rsid w:val="00026089"/>
    <w:rsid w:val="000269C2"/>
    <w:rsid w:val="00026F83"/>
    <w:rsid w:val="00034A11"/>
    <w:rsid w:val="00035D4D"/>
    <w:rsid w:val="000374E6"/>
    <w:rsid w:val="0003793D"/>
    <w:rsid w:val="00041A7C"/>
    <w:rsid w:val="00043073"/>
    <w:rsid w:val="00043AD3"/>
    <w:rsid w:val="00044F91"/>
    <w:rsid w:val="000470E4"/>
    <w:rsid w:val="0004764C"/>
    <w:rsid w:val="0004770F"/>
    <w:rsid w:val="00052137"/>
    <w:rsid w:val="00052776"/>
    <w:rsid w:val="000529FC"/>
    <w:rsid w:val="00054A93"/>
    <w:rsid w:val="000572EE"/>
    <w:rsid w:val="000576B1"/>
    <w:rsid w:val="00061284"/>
    <w:rsid w:val="00061E06"/>
    <w:rsid w:val="00062CDD"/>
    <w:rsid w:val="000634A1"/>
    <w:rsid w:val="00064C62"/>
    <w:rsid w:val="00066113"/>
    <w:rsid w:val="00073C8A"/>
    <w:rsid w:val="0007425D"/>
    <w:rsid w:val="0007729A"/>
    <w:rsid w:val="00081580"/>
    <w:rsid w:val="00084589"/>
    <w:rsid w:val="00093EF7"/>
    <w:rsid w:val="000960DA"/>
    <w:rsid w:val="000A1FA7"/>
    <w:rsid w:val="000A4A98"/>
    <w:rsid w:val="000A7248"/>
    <w:rsid w:val="000B0A18"/>
    <w:rsid w:val="000B0C81"/>
    <w:rsid w:val="000B3457"/>
    <w:rsid w:val="000C16AD"/>
    <w:rsid w:val="000D5105"/>
    <w:rsid w:val="000D5E7F"/>
    <w:rsid w:val="000D7CC6"/>
    <w:rsid w:val="000E0FE8"/>
    <w:rsid w:val="000E74CB"/>
    <w:rsid w:val="000F155A"/>
    <w:rsid w:val="000F1D68"/>
    <w:rsid w:val="000F29EF"/>
    <w:rsid w:val="000F47CA"/>
    <w:rsid w:val="000F7647"/>
    <w:rsid w:val="00100C30"/>
    <w:rsid w:val="00101FD8"/>
    <w:rsid w:val="00104BC8"/>
    <w:rsid w:val="001058A1"/>
    <w:rsid w:val="00107CFB"/>
    <w:rsid w:val="0011087E"/>
    <w:rsid w:val="001109DB"/>
    <w:rsid w:val="00112D5C"/>
    <w:rsid w:val="00120F90"/>
    <w:rsid w:val="001231B3"/>
    <w:rsid w:val="00127532"/>
    <w:rsid w:val="00127936"/>
    <w:rsid w:val="00130D74"/>
    <w:rsid w:val="001363DF"/>
    <w:rsid w:val="00152536"/>
    <w:rsid w:val="00153FBD"/>
    <w:rsid w:val="0015501E"/>
    <w:rsid w:val="00157C23"/>
    <w:rsid w:val="00163236"/>
    <w:rsid w:val="001636EE"/>
    <w:rsid w:val="00165FDB"/>
    <w:rsid w:val="00166CE2"/>
    <w:rsid w:val="00173B91"/>
    <w:rsid w:val="001858AF"/>
    <w:rsid w:val="00185EF4"/>
    <w:rsid w:val="00187545"/>
    <w:rsid w:val="00190CBF"/>
    <w:rsid w:val="00191342"/>
    <w:rsid w:val="00191549"/>
    <w:rsid w:val="0019535B"/>
    <w:rsid w:val="00196FAC"/>
    <w:rsid w:val="001A1AC8"/>
    <w:rsid w:val="001A2759"/>
    <w:rsid w:val="001A38D8"/>
    <w:rsid w:val="001A4763"/>
    <w:rsid w:val="001A6040"/>
    <w:rsid w:val="001B10C0"/>
    <w:rsid w:val="001B50F3"/>
    <w:rsid w:val="001B7799"/>
    <w:rsid w:val="001C194E"/>
    <w:rsid w:val="001C2C63"/>
    <w:rsid w:val="001C566F"/>
    <w:rsid w:val="001C5E87"/>
    <w:rsid w:val="001D1648"/>
    <w:rsid w:val="001D2243"/>
    <w:rsid w:val="001D3D75"/>
    <w:rsid w:val="001D6706"/>
    <w:rsid w:val="001D7B69"/>
    <w:rsid w:val="001E1E7E"/>
    <w:rsid w:val="001E5B74"/>
    <w:rsid w:val="001E5D9A"/>
    <w:rsid w:val="001E741F"/>
    <w:rsid w:val="001E77B8"/>
    <w:rsid w:val="001F3372"/>
    <w:rsid w:val="001F4C8C"/>
    <w:rsid w:val="001F4EFD"/>
    <w:rsid w:val="00200BE8"/>
    <w:rsid w:val="002021BF"/>
    <w:rsid w:val="002049E8"/>
    <w:rsid w:val="002051E0"/>
    <w:rsid w:val="0020571F"/>
    <w:rsid w:val="00205F77"/>
    <w:rsid w:val="00210250"/>
    <w:rsid w:val="002106F6"/>
    <w:rsid w:val="0021159A"/>
    <w:rsid w:val="00212B00"/>
    <w:rsid w:val="002131B6"/>
    <w:rsid w:val="00217EF1"/>
    <w:rsid w:val="00222802"/>
    <w:rsid w:val="00224E7A"/>
    <w:rsid w:val="00227B9D"/>
    <w:rsid w:val="00227F69"/>
    <w:rsid w:val="00231CE9"/>
    <w:rsid w:val="00233593"/>
    <w:rsid w:val="002349C6"/>
    <w:rsid w:val="00237656"/>
    <w:rsid w:val="00237CF6"/>
    <w:rsid w:val="00237DEC"/>
    <w:rsid w:val="00240DAC"/>
    <w:rsid w:val="00241C48"/>
    <w:rsid w:val="00242608"/>
    <w:rsid w:val="0024269D"/>
    <w:rsid w:val="00243DA4"/>
    <w:rsid w:val="0024457B"/>
    <w:rsid w:val="00245881"/>
    <w:rsid w:val="00246D02"/>
    <w:rsid w:val="00247403"/>
    <w:rsid w:val="00250484"/>
    <w:rsid w:val="002517E6"/>
    <w:rsid w:val="0025483B"/>
    <w:rsid w:val="002551A2"/>
    <w:rsid w:val="00255DCA"/>
    <w:rsid w:val="0025791B"/>
    <w:rsid w:val="00261160"/>
    <w:rsid w:val="00261683"/>
    <w:rsid w:val="00265136"/>
    <w:rsid w:val="002679D6"/>
    <w:rsid w:val="00267F05"/>
    <w:rsid w:val="002749D0"/>
    <w:rsid w:val="0028461F"/>
    <w:rsid w:val="0028488D"/>
    <w:rsid w:val="00285139"/>
    <w:rsid w:val="00285C4D"/>
    <w:rsid w:val="00292AC7"/>
    <w:rsid w:val="00293169"/>
    <w:rsid w:val="00295023"/>
    <w:rsid w:val="002977BD"/>
    <w:rsid w:val="002A2CE8"/>
    <w:rsid w:val="002A4F31"/>
    <w:rsid w:val="002A5509"/>
    <w:rsid w:val="002A7F2A"/>
    <w:rsid w:val="002B2EEE"/>
    <w:rsid w:val="002B66F9"/>
    <w:rsid w:val="002C1085"/>
    <w:rsid w:val="002C297B"/>
    <w:rsid w:val="002C7C3E"/>
    <w:rsid w:val="002C7CC8"/>
    <w:rsid w:val="002D2145"/>
    <w:rsid w:val="002D24D7"/>
    <w:rsid w:val="002D4478"/>
    <w:rsid w:val="002D45B8"/>
    <w:rsid w:val="002E474D"/>
    <w:rsid w:val="002F42FA"/>
    <w:rsid w:val="002F5ACA"/>
    <w:rsid w:val="002F7818"/>
    <w:rsid w:val="002F7FDA"/>
    <w:rsid w:val="0030004B"/>
    <w:rsid w:val="00302A23"/>
    <w:rsid w:val="00302ED7"/>
    <w:rsid w:val="003031A3"/>
    <w:rsid w:val="00303768"/>
    <w:rsid w:val="00306FE0"/>
    <w:rsid w:val="0031103E"/>
    <w:rsid w:val="00311461"/>
    <w:rsid w:val="00314752"/>
    <w:rsid w:val="00314BA8"/>
    <w:rsid w:val="00315AEC"/>
    <w:rsid w:val="00316DCE"/>
    <w:rsid w:val="00317E0A"/>
    <w:rsid w:val="003207B3"/>
    <w:rsid w:val="00321EE4"/>
    <w:rsid w:val="00326DDD"/>
    <w:rsid w:val="00330645"/>
    <w:rsid w:val="003315E5"/>
    <w:rsid w:val="00331DC4"/>
    <w:rsid w:val="003324A7"/>
    <w:rsid w:val="00343D7D"/>
    <w:rsid w:val="00350ED6"/>
    <w:rsid w:val="00350F2C"/>
    <w:rsid w:val="00352EAF"/>
    <w:rsid w:val="00361142"/>
    <w:rsid w:val="0036146B"/>
    <w:rsid w:val="00364EA3"/>
    <w:rsid w:val="00366964"/>
    <w:rsid w:val="003738B4"/>
    <w:rsid w:val="00375905"/>
    <w:rsid w:val="0038391B"/>
    <w:rsid w:val="003864BA"/>
    <w:rsid w:val="00391A3C"/>
    <w:rsid w:val="00391C2D"/>
    <w:rsid w:val="00392487"/>
    <w:rsid w:val="0039326F"/>
    <w:rsid w:val="00397BE2"/>
    <w:rsid w:val="003A677C"/>
    <w:rsid w:val="003A7BE0"/>
    <w:rsid w:val="003B1AB2"/>
    <w:rsid w:val="003B253B"/>
    <w:rsid w:val="003B271F"/>
    <w:rsid w:val="003B531E"/>
    <w:rsid w:val="003B650E"/>
    <w:rsid w:val="003C7017"/>
    <w:rsid w:val="003C7375"/>
    <w:rsid w:val="003D03DC"/>
    <w:rsid w:val="003D0B80"/>
    <w:rsid w:val="003D1D95"/>
    <w:rsid w:val="003D41CC"/>
    <w:rsid w:val="003D7397"/>
    <w:rsid w:val="003E0F5B"/>
    <w:rsid w:val="003E1F70"/>
    <w:rsid w:val="003E5229"/>
    <w:rsid w:val="003E5983"/>
    <w:rsid w:val="003E77DC"/>
    <w:rsid w:val="003F0255"/>
    <w:rsid w:val="003F0503"/>
    <w:rsid w:val="003F38B4"/>
    <w:rsid w:val="003F4F85"/>
    <w:rsid w:val="0040091A"/>
    <w:rsid w:val="00402312"/>
    <w:rsid w:val="004031FB"/>
    <w:rsid w:val="00403F0D"/>
    <w:rsid w:val="0040447C"/>
    <w:rsid w:val="00410B9D"/>
    <w:rsid w:val="00412808"/>
    <w:rsid w:val="00417B11"/>
    <w:rsid w:val="00422945"/>
    <w:rsid w:val="00424FE8"/>
    <w:rsid w:val="00425E08"/>
    <w:rsid w:val="00427241"/>
    <w:rsid w:val="00431991"/>
    <w:rsid w:val="0043228A"/>
    <w:rsid w:val="00432893"/>
    <w:rsid w:val="00433D0C"/>
    <w:rsid w:val="00434E0A"/>
    <w:rsid w:val="004374E1"/>
    <w:rsid w:val="004377D4"/>
    <w:rsid w:val="00440D22"/>
    <w:rsid w:val="00440EC3"/>
    <w:rsid w:val="00442311"/>
    <w:rsid w:val="00443D23"/>
    <w:rsid w:val="00444637"/>
    <w:rsid w:val="004509A3"/>
    <w:rsid w:val="00460282"/>
    <w:rsid w:val="00460BBF"/>
    <w:rsid w:val="0046507D"/>
    <w:rsid w:val="00470D31"/>
    <w:rsid w:val="00474260"/>
    <w:rsid w:val="004753B3"/>
    <w:rsid w:val="00475BFD"/>
    <w:rsid w:val="00482B32"/>
    <w:rsid w:val="00484510"/>
    <w:rsid w:val="004850BB"/>
    <w:rsid w:val="00496383"/>
    <w:rsid w:val="004A0A36"/>
    <w:rsid w:val="004A152B"/>
    <w:rsid w:val="004A2B8B"/>
    <w:rsid w:val="004A3E77"/>
    <w:rsid w:val="004A4EF9"/>
    <w:rsid w:val="004A6A53"/>
    <w:rsid w:val="004B0581"/>
    <w:rsid w:val="004B07D2"/>
    <w:rsid w:val="004B2685"/>
    <w:rsid w:val="004C06F6"/>
    <w:rsid w:val="004C0771"/>
    <w:rsid w:val="004C2C50"/>
    <w:rsid w:val="004C390F"/>
    <w:rsid w:val="004C5A44"/>
    <w:rsid w:val="004C694D"/>
    <w:rsid w:val="004D0648"/>
    <w:rsid w:val="004D19C5"/>
    <w:rsid w:val="004D27B2"/>
    <w:rsid w:val="004D3DEC"/>
    <w:rsid w:val="004E424F"/>
    <w:rsid w:val="004F3228"/>
    <w:rsid w:val="004F59FD"/>
    <w:rsid w:val="00505816"/>
    <w:rsid w:val="00511D9D"/>
    <w:rsid w:val="005127B7"/>
    <w:rsid w:val="00513BE5"/>
    <w:rsid w:val="00515D5D"/>
    <w:rsid w:val="00517D14"/>
    <w:rsid w:val="0052145B"/>
    <w:rsid w:val="0052365C"/>
    <w:rsid w:val="005256D9"/>
    <w:rsid w:val="00530EAE"/>
    <w:rsid w:val="0053508A"/>
    <w:rsid w:val="00540CF6"/>
    <w:rsid w:val="0054171B"/>
    <w:rsid w:val="00541B12"/>
    <w:rsid w:val="00545520"/>
    <w:rsid w:val="00545E03"/>
    <w:rsid w:val="00561BF4"/>
    <w:rsid w:val="00562BC1"/>
    <w:rsid w:val="00565339"/>
    <w:rsid w:val="005714EE"/>
    <w:rsid w:val="005721A1"/>
    <w:rsid w:val="005738DC"/>
    <w:rsid w:val="00576D3D"/>
    <w:rsid w:val="00577078"/>
    <w:rsid w:val="005808F6"/>
    <w:rsid w:val="0058153F"/>
    <w:rsid w:val="00581947"/>
    <w:rsid w:val="00583C60"/>
    <w:rsid w:val="00585610"/>
    <w:rsid w:val="00587DF4"/>
    <w:rsid w:val="0059030F"/>
    <w:rsid w:val="0059138D"/>
    <w:rsid w:val="0059142F"/>
    <w:rsid w:val="005919C3"/>
    <w:rsid w:val="00593698"/>
    <w:rsid w:val="0059371C"/>
    <w:rsid w:val="00596A04"/>
    <w:rsid w:val="005A0930"/>
    <w:rsid w:val="005A7688"/>
    <w:rsid w:val="005B22CC"/>
    <w:rsid w:val="005B485D"/>
    <w:rsid w:val="005C18F9"/>
    <w:rsid w:val="005C1FBC"/>
    <w:rsid w:val="005C25A5"/>
    <w:rsid w:val="005C2FEB"/>
    <w:rsid w:val="005C4E60"/>
    <w:rsid w:val="005C5C68"/>
    <w:rsid w:val="005C5CA5"/>
    <w:rsid w:val="005C78B3"/>
    <w:rsid w:val="005D1D5C"/>
    <w:rsid w:val="005D487F"/>
    <w:rsid w:val="005D4CDE"/>
    <w:rsid w:val="005D51A4"/>
    <w:rsid w:val="005D5E40"/>
    <w:rsid w:val="005E0699"/>
    <w:rsid w:val="005E0718"/>
    <w:rsid w:val="005E2647"/>
    <w:rsid w:val="005E66DD"/>
    <w:rsid w:val="005E683D"/>
    <w:rsid w:val="005F1B67"/>
    <w:rsid w:val="005F2EE2"/>
    <w:rsid w:val="005F42E5"/>
    <w:rsid w:val="005F5A73"/>
    <w:rsid w:val="00600D86"/>
    <w:rsid w:val="00601124"/>
    <w:rsid w:val="00602AAA"/>
    <w:rsid w:val="00606BB9"/>
    <w:rsid w:val="00606EE0"/>
    <w:rsid w:val="006105D7"/>
    <w:rsid w:val="00611447"/>
    <w:rsid w:val="00611DFD"/>
    <w:rsid w:val="006121AA"/>
    <w:rsid w:val="00616DE7"/>
    <w:rsid w:val="0062096F"/>
    <w:rsid w:val="00622BFF"/>
    <w:rsid w:val="0062556F"/>
    <w:rsid w:val="006329A5"/>
    <w:rsid w:val="00633860"/>
    <w:rsid w:val="0063578D"/>
    <w:rsid w:val="006364E1"/>
    <w:rsid w:val="006369CB"/>
    <w:rsid w:val="00636E7F"/>
    <w:rsid w:val="006406A1"/>
    <w:rsid w:val="006413FA"/>
    <w:rsid w:val="00647498"/>
    <w:rsid w:val="0064749A"/>
    <w:rsid w:val="00647C6D"/>
    <w:rsid w:val="006511F3"/>
    <w:rsid w:val="006564D7"/>
    <w:rsid w:val="00656E5C"/>
    <w:rsid w:val="00661C1A"/>
    <w:rsid w:val="00663BEF"/>
    <w:rsid w:val="0066473F"/>
    <w:rsid w:val="00666D50"/>
    <w:rsid w:val="006710FC"/>
    <w:rsid w:val="0067506E"/>
    <w:rsid w:val="006752C3"/>
    <w:rsid w:val="00675EE2"/>
    <w:rsid w:val="0067619C"/>
    <w:rsid w:val="0068133E"/>
    <w:rsid w:val="006821D2"/>
    <w:rsid w:val="00684B3A"/>
    <w:rsid w:val="00684F15"/>
    <w:rsid w:val="00685CB7"/>
    <w:rsid w:val="006922CD"/>
    <w:rsid w:val="006926BB"/>
    <w:rsid w:val="00693880"/>
    <w:rsid w:val="00694491"/>
    <w:rsid w:val="0069646D"/>
    <w:rsid w:val="0069705F"/>
    <w:rsid w:val="006A11A5"/>
    <w:rsid w:val="006A1461"/>
    <w:rsid w:val="006A34A1"/>
    <w:rsid w:val="006A39DE"/>
    <w:rsid w:val="006A5BA7"/>
    <w:rsid w:val="006A6DB3"/>
    <w:rsid w:val="006A7D09"/>
    <w:rsid w:val="006B08CA"/>
    <w:rsid w:val="006B0BDE"/>
    <w:rsid w:val="006B57D7"/>
    <w:rsid w:val="006B5DBC"/>
    <w:rsid w:val="006C4E16"/>
    <w:rsid w:val="006D034B"/>
    <w:rsid w:val="006D10F0"/>
    <w:rsid w:val="006D1A5E"/>
    <w:rsid w:val="006D2517"/>
    <w:rsid w:val="006D4C72"/>
    <w:rsid w:val="006D6B27"/>
    <w:rsid w:val="006E0B82"/>
    <w:rsid w:val="006E4C06"/>
    <w:rsid w:val="006E7AD7"/>
    <w:rsid w:val="006F26DB"/>
    <w:rsid w:val="006F2BB2"/>
    <w:rsid w:val="006F44A3"/>
    <w:rsid w:val="006F4BD2"/>
    <w:rsid w:val="006F51EA"/>
    <w:rsid w:val="006F5795"/>
    <w:rsid w:val="006F5A14"/>
    <w:rsid w:val="006F6112"/>
    <w:rsid w:val="006F7D44"/>
    <w:rsid w:val="00703F84"/>
    <w:rsid w:val="007055C2"/>
    <w:rsid w:val="00706176"/>
    <w:rsid w:val="00706BD8"/>
    <w:rsid w:val="00706D18"/>
    <w:rsid w:val="007103AD"/>
    <w:rsid w:val="007107C8"/>
    <w:rsid w:val="0071154D"/>
    <w:rsid w:val="00712806"/>
    <w:rsid w:val="00713D09"/>
    <w:rsid w:val="0071456C"/>
    <w:rsid w:val="00717915"/>
    <w:rsid w:val="00720465"/>
    <w:rsid w:val="00721263"/>
    <w:rsid w:val="00722B33"/>
    <w:rsid w:val="007259C5"/>
    <w:rsid w:val="00727B7A"/>
    <w:rsid w:val="0073029E"/>
    <w:rsid w:val="00730465"/>
    <w:rsid w:val="00730595"/>
    <w:rsid w:val="00730DED"/>
    <w:rsid w:val="007414F4"/>
    <w:rsid w:val="007442A4"/>
    <w:rsid w:val="00747FB3"/>
    <w:rsid w:val="00750E36"/>
    <w:rsid w:val="007568F8"/>
    <w:rsid w:val="00757B01"/>
    <w:rsid w:val="007609AF"/>
    <w:rsid w:val="00764DD9"/>
    <w:rsid w:val="007700E0"/>
    <w:rsid w:val="0077118C"/>
    <w:rsid w:val="00772209"/>
    <w:rsid w:val="007724BF"/>
    <w:rsid w:val="0077504C"/>
    <w:rsid w:val="00776F40"/>
    <w:rsid w:val="0078194E"/>
    <w:rsid w:val="0078285F"/>
    <w:rsid w:val="00782A1E"/>
    <w:rsid w:val="007853D4"/>
    <w:rsid w:val="00786691"/>
    <w:rsid w:val="0079135D"/>
    <w:rsid w:val="00792CFC"/>
    <w:rsid w:val="007947BF"/>
    <w:rsid w:val="0079480B"/>
    <w:rsid w:val="00794B68"/>
    <w:rsid w:val="007A150D"/>
    <w:rsid w:val="007A1A3A"/>
    <w:rsid w:val="007A2AA0"/>
    <w:rsid w:val="007A73FE"/>
    <w:rsid w:val="007B098C"/>
    <w:rsid w:val="007B0D55"/>
    <w:rsid w:val="007B136A"/>
    <w:rsid w:val="007B22F0"/>
    <w:rsid w:val="007B46EB"/>
    <w:rsid w:val="007B527C"/>
    <w:rsid w:val="007B7975"/>
    <w:rsid w:val="007C073C"/>
    <w:rsid w:val="007C0863"/>
    <w:rsid w:val="007C144A"/>
    <w:rsid w:val="007C2C06"/>
    <w:rsid w:val="007C3980"/>
    <w:rsid w:val="007C3ADF"/>
    <w:rsid w:val="007C3AE7"/>
    <w:rsid w:val="007D507F"/>
    <w:rsid w:val="007D6D84"/>
    <w:rsid w:val="007E289B"/>
    <w:rsid w:val="007E28BE"/>
    <w:rsid w:val="007E76EA"/>
    <w:rsid w:val="007E7C11"/>
    <w:rsid w:val="007F3202"/>
    <w:rsid w:val="008011DE"/>
    <w:rsid w:val="008055FF"/>
    <w:rsid w:val="00805E7B"/>
    <w:rsid w:val="008101C3"/>
    <w:rsid w:val="00810D72"/>
    <w:rsid w:val="00811A2B"/>
    <w:rsid w:val="00811A57"/>
    <w:rsid w:val="00815C2F"/>
    <w:rsid w:val="00821CFE"/>
    <w:rsid w:val="00826819"/>
    <w:rsid w:val="00826EA4"/>
    <w:rsid w:val="00833219"/>
    <w:rsid w:val="008354D8"/>
    <w:rsid w:val="0083550F"/>
    <w:rsid w:val="00837D4A"/>
    <w:rsid w:val="00841594"/>
    <w:rsid w:val="00842393"/>
    <w:rsid w:val="00842EA1"/>
    <w:rsid w:val="00845550"/>
    <w:rsid w:val="00845BF7"/>
    <w:rsid w:val="00855014"/>
    <w:rsid w:val="008576A8"/>
    <w:rsid w:val="00857B7B"/>
    <w:rsid w:val="008606F3"/>
    <w:rsid w:val="00860808"/>
    <w:rsid w:val="00860A89"/>
    <w:rsid w:val="008624D2"/>
    <w:rsid w:val="0086281B"/>
    <w:rsid w:val="00862D55"/>
    <w:rsid w:val="00862DD2"/>
    <w:rsid w:val="00864126"/>
    <w:rsid w:val="00876D93"/>
    <w:rsid w:val="008778F5"/>
    <w:rsid w:val="00881802"/>
    <w:rsid w:val="00883473"/>
    <w:rsid w:val="00891AD2"/>
    <w:rsid w:val="0089631D"/>
    <w:rsid w:val="00896FB5"/>
    <w:rsid w:val="008A0E05"/>
    <w:rsid w:val="008A180C"/>
    <w:rsid w:val="008A1B37"/>
    <w:rsid w:val="008A2694"/>
    <w:rsid w:val="008A451C"/>
    <w:rsid w:val="008B4CD1"/>
    <w:rsid w:val="008B7803"/>
    <w:rsid w:val="008C3DBD"/>
    <w:rsid w:val="008C5510"/>
    <w:rsid w:val="008C5D1B"/>
    <w:rsid w:val="008C672A"/>
    <w:rsid w:val="008C76B5"/>
    <w:rsid w:val="008D0489"/>
    <w:rsid w:val="008D3CC6"/>
    <w:rsid w:val="008D43BF"/>
    <w:rsid w:val="008E2E8E"/>
    <w:rsid w:val="008E41C7"/>
    <w:rsid w:val="008E5D05"/>
    <w:rsid w:val="008E6F55"/>
    <w:rsid w:val="008E768C"/>
    <w:rsid w:val="008F1487"/>
    <w:rsid w:val="008F2D2B"/>
    <w:rsid w:val="008F43D2"/>
    <w:rsid w:val="008F60B7"/>
    <w:rsid w:val="008F744D"/>
    <w:rsid w:val="0090282B"/>
    <w:rsid w:val="00903F3F"/>
    <w:rsid w:val="0090441A"/>
    <w:rsid w:val="00905151"/>
    <w:rsid w:val="00907C56"/>
    <w:rsid w:val="00912AA0"/>
    <w:rsid w:val="009134E8"/>
    <w:rsid w:val="00913865"/>
    <w:rsid w:val="00915F67"/>
    <w:rsid w:val="00920FE7"/>
    <w:rsid w:val="0092578F"/>
    <w:rsid w:val="0092609C"/>
    <w:rsid w:val="00926D8A"/>
    <w:rsid w:val="009312AB"/>
    <w:rsid w:val="00936F06"/>
    <w:rsid w:val="00937260"/>
    <w:rsid w:val="0093771C"/>
    <w:rsid w:val="00942426"/>
    <w:rsid w:val="009428BC"/>
    <w:rsid w:val="009444E0"/>
    <w:rsid w:val="00944CD5"/>
    <w:rsid w:val="0094595E"/>
    <w:rsid w:val="00945E1A"/>
    <w:rsid w:val="00946377"/>
    <w:rsid w:val="009515CE"/>
    <w:rsid w:val="00951EB6"/>
    <w:rsid w:val="00953CB7"/>
    <w:rsid w:val="00961FBB"/>
    <w:rsid w:val="0096494F"/>
    <w:rsid w:val="0096541B"/>
    <w:rsid w:val="00967B2D"/>
    <w:rsid w:val="00970E48"/>
    <w:rsid w:val="00971DA6"/>
    <w:rsid w:val="009721A8"/>
    <w:rsid w:val="00973837"/>
    <w:rsid w:val="00974A54"/>
    <w:rsid w:val="00974FBB"/>
    <w:rsid w:val="009760FB"/>
    <w:rsid w:val="00982042"/>
    <w:rsid w:val="00984C86"/>
    <w:rsid w:val="00985CC9"/>
    <w:rsid w:val="00994A17"/>
    <w:rsid w:val="009959CC"/>
    <w:rsid w:val="0099687F"/>
    <w:rsid w:val="009974E9"/>
    <w:rsid w:val="009A5ADB"/>
    <w:rsid w:val="009A65E0"/>
    <w:rsid w:val="009A7EF8"/>
    <w:rsid w:val="009B02A6"/>
    <w:rsid w:val="009B04FA"/>
    <w:rsid w:val="009B1B1B"/>
    <w:rsid w:val="009B1FF2"/>
    <w:rsid w:val="009B2283"/>
    <w:rsid w:val="009B5CE1"/>
    <w:rsid w:val="009B5D80"/>
    <w:rsid w:val="009B7CB9"/>
    <w:rsid w:val="009C3C58"/>
    <w:rsid w:val="009C4E0B"/>
    <w:rsid w:val="009C53A0"/>
    <w:rsid w:val="009C5687"/>
    <w:rsid w:val="009D1D54"/>
    <w:rsid w:val="009D1EEA"/>
    <w:rsid w:val="009D29A1"/>
    <w:rsid w:val="009D2D1C"/>
    <w:rsid w:val="009E6FEE"/>
    <w:rsid w:val="009F043C"/>
    <w:rsid w:val="009F0AF9"/>
    <w:rsid w:val="009F0F58"/>
    <w:rsid w:val="009F1927"/>
    <w:rsid w:val="009F1EE2"/>
    <w:rsid w:val="009F31E0"/>
    <w:rsid w:val="009F6FD9"/>
    <w:rsid w:val="00A0079D"/>
    <w:rsid w:val="00A0116F"/>
    <w:rsid w:val="00A02812"/>
    <w:rsid w:val="00A02831"/>
    <w:rsid w:val="00A03BB0"/>
    <w:rsid w:val="00A06142"/>
    <w:rsid w:val="00A06E8B"/>
    <w:rsid w:val="00A1168E"/>
    <w:rsid w:val="00A12E26"/>
    <w:rsid w:val="00A17106"/>
    <w:rsid w:val="00A232AC"/>
    <w:rsid w:val="00A2401C"/>
    <w:rsid w:val="00A2612E"/>
    <w:rsid w:val="00A30169"/>
    <w:rsid w:val="00A31134"/>
    <w:rsid w:val="00A3121F"/>
    <w:rsid w:val="00A31DB6"/>
    <w:rsid w:val="00A3225E"/>
    <w:rsid w:val="00A3257D"/>
    <w:rsid w:val="00A32FCF"/>
    <w:rsid w:val="00A3324C"/>
    <w:rsid w:val="00A3403A"/>
    <w:rsid w:val="00A34C73"/>
    <w:rsid w:val="00A43A0B"/>
    <w:rsid w:val="00A43A6E"/>
    <w:rsid w:val="00A44EDE"/>
    <w:rsid w:val="00A45B9C"/>
    <w:rsid w:val="00A50A13"/>
    <w:rsid w:val="00A50D78"/>
    <w:rsid w:val="00A5284A"/>
    <w:rsid w:val="00A52EBA"/>
    <w:rsid w:val="00A52F5C"/>
    <w:rsid w:val="00A571E0"/>
    <w:rsid w:val="00A6023A"/>
    <w:rsid w:val="00A60540"/>
    <w:rsid w:val="00A60CCF"/>
    <w:rsid w:val="00A62982"/>
    <w:rsid w:val="00A65978"/>
    <w:rsid w:val="00A70621"/>
    <w:rsid w:val="00A71C9B"/>
    <w:rsid w:val="00A74924"/>
    <w:rsid w:val="00A74A3A"/>
    <w:rsid w:val="00A74BDE"/>
    <w:rsid w:val="00A75CF7"/>
    <w:rsid w:val="00A764B7"/>
    <w:rsid w:val="00A7742F"/>
    <w:rsid w:val="00A81777"/>
    <w:rsid w:val="00A8230B"/>
    <w:rsid w:val="00A840FA"/>
    <w:rsid w:val="00A9152C"/>
    <w:rsid w:val="00A937B8"/>
    <w:rsid w:val="00A947BA"/>
    <w:rsid w:val="00A95455"/>
    <w:rsid w:val="00A97CF9"/>
    <w:rsid w:val="00AA04A2"/>
    <w:rsid w:val="00AA0B3C"/>
    <w:rsid w:val="00AA1FB2"/>
    <w:rsid w:val="00AA3E08"/>
    <w:rsid w:val="00AA4CE2"/>
    <w:rsid w:val="00AA748F"/>
    <w:rsid w:val="00AB082F"/>
    <w:rsid w:val="00AB29C3"/>
    <w:rsid w:val="00AB63D4"/>
    <w:rsid w:val="00AC20C0"/>
    <w:rsid w:val="00AC2670"/>
    <w:rsid w:val="00AC553F"/>
    <w:rsid w:val="00AD01EC"/>
    <w:rsid w:val="00AD13C0"/>
    <w:rsid w:val="00AD7876"/>
    <w:rsid w:val="00AE02AE"/>
    <w:rsid w:val="00AF226C"/>
    <w:rsid w:val="00AF3C01"/>
    <w:rsid w:val="00AF76A0"/>
    <w:rsid w:val="00B00CD0"/>
    <w:rsid w:val="00B01D8A"/>
    <w:rsid w:val="00B03A2E"/>
    <w:rsid w:val="00B071A6"/>
    <w:rsid w:val="00B10156"/>
    <w:rsid w:val="00B108BD"/>
    <w:rsid w:val="00B128E9"/>
    <w:rsid w:val="00B1482B"/>
    <w:rsid w:val="00B2013B"/>
    <w:rsid w:val="00B21D43"/>
    <w:rsid w:val="00B23FB8"/>
    <w:rsid w:val="00B2722F"/>
    <w:rsid w:val="00B30F81"/>
    <w:rsid w:val="00B327B2"/>
    <w:rsid w:val="00B3604C"/>
    <w:rsid w:val="00B362F9"/>
    <w:rsid w:val="00B45693"/>
    <w:rsid w:val="00B45A7D"/>
    <w:rsid w:val="00B506A1"/>
    <w:rsid w:val="00B5125E"/>
    <w:rsid w:val="00B55219"/>
    <w:rsid w:val="00B60378"/>
    <w:rsid w:val="00B642C2"/>
    <w:rsid w:val="00B6509C"/>
    <w:rsid w:val="00B65ACE"/>
    <w:rsid w:val="00B6669B"/>
    <w:rsid w:val="00B677F2"/>
    <w:rsid w:val="00B7078F"/>
    <w:rsid w:val="00B752E2"/>
    <w:rsid w:val="00B76256"/>
    <w:rsid w:val="00B765CD"/>
    <w:rsid w:val="00B81391"/>
    <w:rsid w:val="00B81864"/>
    <w:rsid w:val="00B8357C"/>
    <w:rsid w:val="00B83C8B"/>
    <w:rsid w:val="00B843B2"/>
    <w:rsid w:val="00B85F11"/>
    <w:rsid w:val="00B86718"/>
    <w:rsid w:val="00B91528"/>
    <w:rsid w:val="00B917A3"/>
    <w:rsid w:val="00B91FBB"/>
    <w:rsid w:val="00B92048"/>
    <w:rsid w:val="00B951FB"/>
    <w:rsid w:val="00B95647"/>
    <w:rsid w:val="00B95AB0"/>
    <w:rsid w:val="00B96D9D"/>
    <w:rsid w:val="00B96F9E"/>
    <w:rsid w:val="00B97D25"/>
    <w:rsid w:val="00BA0962"/>
    <w:rsid w:val="00BA1B42"/>
    <w:rsid w:val="00BA2108"/>
    <w:rsid w:val="00BA5EE3"/>
    <w:rsid w:val="00BA6917"/>
    <w:rsid w:val="00BB027A"/>
    <w:rsid w:val="00BB04D8"/>
    <w:rsid w:val="00BB0982"/>
    <w:rsid w:val="00BB2C9F"/>
    <w:rsid w:val="00BB72CD"/>
    <w:rsid w:val="00BC4697"/>
    <w:rsid w:val="00BC71A8"/>
    <w:rsid w:val="00BC7B7D"/>
    <w:rsid w:val="00BD0791"/>
    <w:rsid w:val="00BD14D8"/>
    <w:rsid w:val="00BD1AD9"/>
    <w:rsid w:val="00BD1B79"/>
    <w:rsid w:val="00BD3998"/>
    <w:rsid w:val="00BD3C33"/>
    <w:rsid w:val="00BD6C93"/>
    <w:rsid w:val="00BD7F8C"/>
    <w:rsid w:val="00BD7FB4"/>
    <w:rsid w:val="00BE37C0"/>
    <w:rsid w:val="00BE54D1"/>
    <w:rsid w:val="00BE6C5B"/>
    <w:rsid w:val="00BE71D0"/>
    <w:rsid w:val="00BF2813"/>
    <w:rsid w:val="00BF32C6"/>
    <w:rsid w:val="00BF648B"/>
    <w:rsid w:val="00BF6D82"/>
    <w:rsid w:val="00C07B28"/>
    <w:rsid w:val="00C07FFE"/>
    <w:rsid w:val="00C1048C"/>
    <w:rsid w:val="00C11664"/>
    <w:rsid w:val="00C12C87"/>
    <w:rsid w:val="00C132D9"/>
    <w:rsid w:val="00C15248"/>
    <w:rsid w:val="00C2322B"/>
    <w:rsid w:val="00C25696"/>
    <w:rsid w:val="00C25988"/>
    <w:rsid w:val="00C348FA"/>
    <w:rsid w:val="00C36B84"/>
    <w:rsid w:val="00C37362"/>
    <w:rsid w:val="00C421BA"/>
    <w:rsid w:val="00C459A7"/>
    <w:rsid w:val="00C45AF5"/>
    <w:rsid w:val="00C463E2"/>
    <w:rsid w:val="00C46807"/>
    <w:rsid w:val="00C46A02"/>
    <w:rsid w:val="00C54D33"/>
    <w:rsid w:val="00C559DE"/>
    <w:rsid w:val="00C57F81"/>
    <w:rsid w:val="00C57FF9"/>
    <w:rsid w:val="00C71207"/>
    <w:rsid w:val="00C7219B"/>
    <w:rsid w:val="00C730D6"/>
    <w:rsid w:val="00C755FA"/>
    <w:rsid w:val="00C75B2B"/>
    <w:rsid w:val="00C77E36"/>
    <w:rsid w:val="00C81687"/>
    <w:rsid w:val="00C82672"/>
    <w:rsid w:val="00C90E06"/>
    <w:rsid w:val="00C958D7"/>
    <w:rsid w:val="00C95A19"/>
    <w:rsid w:val="00C95FF9"/>
    <w:rsid w:val="00C96367"/>
    <w:rsid w:val="00C9682D"/>
    <w:rsid w:val="00CA0456"/>
    <w:rsid w:val="00CA191F"/>
    <w:rsid w:val="00CA1E84"/>
    <w:rsid w:val="00CA5700"/>
    <w:rsid w:val="00CA5F4E"/>
    <w:rsid w:val="00CA5F9B"/>
    <w:rsid w:val="00CA7556"/>
    <w:rsid w:val="00CB1CAF"/>
    <w:rsid w:val="00CB22BD"/>
    <w:rsid w:val="00CB2823"/>
    <w:rsid w:val="00CB6A10"/>
    <w:rsid w:val="00CB73C9"/>
    <w:rsid w:val="00CC1589"/>
    <w:rsid w:val="00CC62A2"/>
    <w:rsid w:val="00CC7B7B"/>
    <w:rsid w:val="00CD3635"/>
    <w:rsid w:val="00CD4225"/>
    <w:rsid w:val="00CE42C5"/>
    <w:rsid w:val="00CE4C20"/>
    <w:rsid w:val="00CE5B42"/>
    <w:rsid w:val="00CE6B0D"/>
    <w:rsid w:val="00CF4CCF"/>
    <w:rsid w:val="00CF4CF1"/>
    <w:rsid w:val="00CF53AB"/>
    <w:rsid w:val="00CF7104"/>
    <w:rsid w:val="00CF7B04"/>
    <w:rsid w:val="00D03802"/>
    <w:rsid w:val="00D03AD9"/>
    <w:rsid w:val="00D057F8"/>
    <w:rsid w:val="00D05DF0"/>
    <w:rsid w:val="00D116B8"/>
    <w:rsid w:val="00D11C29"/>
    <w:rsid w:val="00D1318A"/>
    <w:rsid w:val="00D13787"/>
    <w:rsid w:val="00D1381C"/>
    <w:rsid w:val="00D14F82"/>
    <w:rsid w:val="00D14FD5"/>
    <w:rsid w:val="00D150D4"/>
    <w:rsid w:val="00D154EF"/>
    <w:rsid w:val="00D1630C"/>
    <w:rsid w:val="00D164F2"/>
    <w:rsid w:val="00D2045E"/>
    <w:rsid w:val="00D20C8B"/>
    <w:rsid w:val="00D22429"/>
    <w:rsid w:val="00D22438"/>
    <w:rsid w:val="00D22BB3"/>
    <w:rsid w:val="00D236D2"/>
    <w:rsid w:val="00D237F5"/>
    <w:rsid w:val="00D2420A"/>
    <w:rsid w:val="00D24436"/>
    <w:rsid w:val="00D2478D"/>
    <w:rsid w:val="00D247C7"/>
    <w:rsid w:val="00D24B10"/>
    <w:rsid w:val="00D26B92"/>
    <w:rsid w:val="00D274DA"/>
    <w:rsid w:val="00D30F88"/>
    <w:rsid w:val="00D36BAA"/>
    <w:rsid w:val="00D41315"/>
    <w:rsid w:val="00D45F29"/>
    <w:rsid w:val="00D52A1F"/>
    <w:rsid w:val="00D5434D"/>
    <w:rsid w:val="00D57668"/>
    <w:rsid w:val="00D61FFD"/>
    <w:rsid w:val="00D62D4D"/>
    <w:rsid w:val="00D65435"/>
    <w:rsid w:val="00D66058"/>
    <w:rsid w:val="00D66912"/>
    <w:rsid w:val="00D67530"/>
    <w:rsid w:val="00D731F3"/>
    <w:rsid w:val="00D7447D"/>
    <w:rsid w:val="00D7597F"/>
    <w:rsid w:val="00D7690A"/>
    <w:rsid w:val="00D81262"/>
    <w:rsid w:val="00D8184C"/>
    <w:rsid w:val="00D822BE"/>
    <w:rsid w:val="00D84EDE"/>
    <w:rsid w:val="00D85481"/>
    <w:rsid w:val="00D86CA5"/>
    <w:rsid w:val="00D947DC"/>
    <w:rsid w:val="00D96E40"/>
    <w:rsid w:val="00D97012"/>
    <w:rsid w:val="00DA188A"/>
    <w:rsid w:val="00DA204E"/>
    <w:rsid w:val="00DA21F1"/>
    <w:rsid w:val="00DA3241"/>
    <w:rsid w:val="00DA3B34"/>
    <w:rsid w:val="00DA78C4"/>
    <w:rsid w:val="00DA795A"/>
    <w:rsid w:val="00DB13C7"/>
    <w:rsid w:val="00DB14D2"/>
    <w:rsid w:val="00DB2E15"/>
    <w:rsid w:val="00DB396E"/>
    <w:rsid w:val="00DB3BEC"/>
    <w:rsid w:val="00DB62A2"/>
    <w:rsid w:val="00DC0359"/>
    <w:rsid w:val="00DC3A7A"/>
    <w:rsid w:val="00DC7BD2"/>
    <w:rsid w:val="00DD3A28"/>
    <w:rsid w:val="00DD6505"/>
    <w:rsid w:val="00DD7214"/>
    <w:rsid w:val="00DE2540"/>
    <w:rsid w:val="00DE355A"/>
    <w:rsid w:val="00DE3F3B"/>
    <w:rsid w:val="00DE4E53"/>
    <w:rsid w:val="00DE5AAC"/>
    <w:rsid w:val="00DE6A0B"/>
    <w:rsid w:val="00DE703F"/>
    <w:rsid w:val="00DF04EB"/>
    <w:rsid w:val="00DF34BE"/>
    <w:rsid w:val="00DF410F"/>
    <w:rsid w:val="00DF55E1"/>
    <w:rsid w:val="00DF7B85"/>
    <w:rsid w:val="00E02910"/>
    <w:rsid w:val="00E03580"/>
    <w:rsid w:val="00E047F6"/>
    <w:rsid w:val="00E04D0A"/>
    <w:rsid w:val="00E0589C"/>
    <w:rsid w:val="00E06DE0"/>
    <w:rsid w:val="00E108AC"/>
    <w:rsid w:val="00E10EAA"/>
    <w:rsid w:val="00E21B81"/>
    <w:rsid w:val="00E22935"/>
    <w:rsid w:val="00E23678"/>
    <w:rsid w:val="00E24587"/>
    <w:rsid w:val="00E256AD"/>
    <w:rsid w:val="00E258C2"/>
    <w:rsid w:val="00E26054"/>
    <w:rsid w:val="00E26243"/>
    <w:rsid w:val="00E278F9"/>
    <w:rsid w:val="00E27D41"/>
    <w:rsid w:val="00E311A3"/>
    <w:rsid w:val="00E3561C"/>
    <w:rsid w:val="00E40214"/>
    <w:rsid w:val="00E41B31"/>
    <w:rsid w:val="00E432AE"/>
    <w:rsid w:val="00E469E3"/>
    <w:rsid w:val="00E477A2"/>
    <w:rsid w:val="00E51AC8"/>
    <w:rsid w:val="00E53FA2"/>
    <w:rsid w:val="00E5436B"/>
    <w:rsid w:val="00E6293D"/>
    <w:rsid w:val="00E62E11"/>
    <w:rsid w:val="00E63862"/>
    <w:rsid w:val="00E66178"/>
    <w:rsid w:val="00E665EF"/>
    <w:rsid w:val="00E66674"/>
    <w:rsid w:val="00E70074"/>
    <w:rsid w:val="00E70D04"/>
    <w:rsid w:val="00E70DDB"/>
    <w:rsid w:val="00E73509"/>
    <w:rsid w:val="00E73F02"/>
    <w:rsid w:val="00E75570"/>
    <w:rsid w:val="00E755A6"/>
    <w:rsid w:val="00E76C73"/>
    <w:rsid w:val="00E82623"/>
    <w:rsid w:val="00E83D9D"/>
    <w:rsid w:val="00E87365"/>
    <w:rsid w:val="00E917CA"/>
    <w:rsid w:val="00E92904"/>
    <w:rsid w:val="00E92FF7"/>
    <w:rsid w:val="00E93976"/>
    <w:rsid w:val="00E959D8"/>
    <w:rsid w:val="00E963D2"/>
    <w:rsid w:val="00E97237"/>
    <w:rsid w:val="00EA27DC"/>
    <w:rsid w:val="00EA3DA8"/>
    <w:rsid w:val="00EB5AE9"/>
    <w:rsid w:val="00EB6595"/>
    <w:rsid w:val="00EC5B1D"/>
    <w:rsid w:val="00EC5C4C"/>
    <w:rsid w:val="00EC7451"/>
    <w:rsid w:val="00EC7599"/>
    <w:rsid w:val="00ED0AB6"/>
    <w:rsid w:val="00ED0BCD"/>
    <w:rsid w:val="00ED1890"/>
    <w:rsid w:val="00ED43CF"/>
    <w:rsid w:val="00ED48E7"/>
    <w:rsid w:val="00ED6653"/>
    <w:rsid w:val="00ED6CC9"/>
    <w:rsid w:val="00ED739A"/>
    <w:rsid w:val="00EE1C47"/>
    <w:rsid w:val="00EE2B5B"/>
    <w:rsid w:val="00EE4E94"/>
    <w:rsid w:val="00EE7692"/>
    <w:rsid w:val="00EF41A7"/>
    <w:rsid w:val="00EF5729"/>
    <w:rsid w:val="00F00509"/>
    <w:rsid w:val="00F00AB3"/>
    <w:rsid w:val="00F03D52"/>
    <w:rsid w:val="00F05440"/>
    <w:rsid w:val="00F074ED"/>
    <w:rsid w:val="00F10639"/>
    <w:rsid w:val="00F11A48"/>
    <w:rsid w:val="00F13821"/>
    <w:rsid w:val="00F15BB1"/>
    <w:rsid w:val="00F16C99"/>
    <w:rsid w:val="00F170E3"/>
    <w:rsid w:val="00F212C1"/>
    <w:rsid w:val="00F21B7C"/>
    <w:rsid w:val="00F24345"/>
    <w:rsid w:val="00F263C5"/>
    <w:rsid w:val="00F27054"/>
    <w:rsid w:val="00F3263D"/>
    <w:rsid w:val="00F33C6E"/>
    <w:rsid w:val="00F34CD7"/>
    <w:rsid w:val="00F35D22"/>
    <w:rsid w:val="00F42651"/>
    <w:rsid w:val="00F42AC1"/>
    <w:rsid w:val="00F452CE"/>
    <w:rsid w:val="00F468F8"/>
    <w:rsid w:val="00F4716B"/>
    <w:rsid w:val="00F47468"/>
    <w:rsid w:val="00F56EAF"/>
    <w:rsid w:val="00F60CE6"/>
    <w:rsid w:val="00F6339A"/>
    <w:rsid w:val="00F63831"/>
    <w:rsid w:val="00F6386C"/>
    <w:rsid w:val="00F64F15"/>
    <w:rsid w:val="00F74E98"/>
    <w:rsid w:val="00F76926"/>
    <w:rsid w:val="00F77D56"/>
    <w:rsid w:val="00F77F19"/>
    <w:rsid w:val="00F817EC"/>
    <w:rsid w:val="00F8323E"/>
    <w:rsid w:val="00F83A47"/>
    <w:rsid w:val="00F901AF"/>
    <w:rsid w:val="00F90936"/>
    <w:rsid w:val="00F90E07"/>
    <w:rsid w:val="00F94DE5"/>
    <w:rsid w:val="00F962D2"/>
    <w:rsid w:val="00FA1EA7"/>
    <w:rsid w:val="00FA40E0"/>
    <w:rsid w:val="00FA4627"/>
    <w:rsid w:val="00FA59C2"/>
    <w:rsid w:val="00FA605E"/>
    <w:rsid w:val="00FB0B42"/>
    <w:rsid w:val="00FB302B"/>
    <w:rsid w:val="00FB4463"/>
    <w:rsid w:val="00FB64DE"/>
    <w:rsid w:val="00FB7C67"/>
    <w:rsid w:val="00FC0B82"/>
    <w:rsid w:val="00FC4CD1"/>
    <w:rsid w:val="00FC6304"/>
    <w:rsid w:val="00FC792E"/>
    <w:rsid w:val="00FD0438"/>
    <w:rsid w:val="00FD304C"/>
    <w:rsid w:val="00FD6A7F"/>
    <w:rsid w:val="00FD6B17"/>
    <w:rsid w:val="00FE0693"/>
    <w:rsid w:val="00FE6CC7"/>
    <w:rsid w:val="00FE6EC5"/>
    <w:rsid w:val="00FE7A99"/>
    <w:rsid w:val="00FF0AAE"/>
    <w:rsid w:val="00FF3062"/>
    <w:rsid w:val="00FF46B1"/>
    <w:rsid w:val="00FF4CD2"/>
    <w:rsid w:val="00FF64DD"/>
    <w:rsid w:val="00FF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C7F298"/>
  <w15:docId w15:val="{AE3B52F3-DDFD-48C7-A434-58BC3BF3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517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2106F6"/>
    <w:pPr>
      <w:spacing w:before="240" w:after="120" w:line="240" w:lineRule="auto"/>
      <w:outlineLvl w:val="0"/>
    </w:pPr>
    <w:rPr>
      <w:rFonts w:ascii="Times New Roman" w:eastAsia="Times New Roman" w:hAnsi="Times New Roman"/>
      <w:b/>
      <w:bCs/>
      <w:color w:val="000000"/>
      <w:kern w:val="36"/>
      <w:sz w:val="33"/>
      <w:szCs w:val="33"/>
    </w:rPr>
  </w:style>
  <w:style w:type="paragraph" w:styleId="Heading3">
    <w:name w:val="heading 3"/>
    <w:basedOn w:val="Normal"/>
    <w:link w:val="Heading3Char"/>
    <w:uiPriority w:val="9"/>
    <w:qFormat/>
    <w:rsid w:val="002106F6"/>
    <w:pPr>
      <w:spacing w:before="308" w:after="154" w:line="240" w:lineRule="auto"/>
      <w:outlineLvl w:val="2"/>
    </w:pPr>
    <w:rPr>
      <w:rFonts w:ascii="Times New Roman" w:eastAsia="Times New Roman" w:hAnsi="Times New Roman"/>
      <w:b/>
      <w:bCs/>
      <w:color w:val="7241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517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CommentReference">
    <w:name w:val="annotation reference"/>
    <w:basedOn w:val="DefaultParagraphFont"/>
    <w:unhideWhenUsed/>
    <w:rsid w:val="006D251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D251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251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517"/>
    <w:rPr>
      <w:rFonts w:ascii="Tahoma" w:eastAsia="Calibri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E8B"/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E8B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061E0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7BE0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A7BE0"/>
  </w:style>
  <w:style w:type="character" w:styleId="Emphasis">
    <w:name w:val="Emphasis"/>
    <w:basedOn w:val="DefaultParagraphFont"/>
    <w:uiPriority w:val="20"/>
    <w:qFormat/>
    <w:rsid w:val="001636EE"/>
    <w:rPr>
      <w:i/>
      <w:iCs/>
    </w:rPr>
  </w:style>
  <w:style w:type="table" w:styleId="TableGrid">
    <w:name w:val="Table Grid"/>
    <w:basedOn w:val="TableNormal"/>
    <w:uiPriority w:val="59"/>
    <w:rsid w:val="00CD4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B3BEC"/>
    <w:pPr>
      <w:autoSpaceDE w:val="0"/>
      <w:autoSpaceDN w:val="0"/>
      <w:spacing w:after="120" w:line="240" w:lineRule="auto"/>
    </w:pPr>
    <w:rPr>
      <w:rFonts w:ascii="Times" w:eastAsia="Times New Roman" w:hAnsi="Times" w:cs="Times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B3BEC"/>
    <w:rPr>
      <w:rFonts w:ascii="Times" w:eastAsia="Times New Roman" w:hAnsi="Times" w:cs="Times"/>
      <w:sz w:val="24"/>
      <w:szCs w:val="24"/>
    </w:rPr>
  </w:style>
  <w:style w:type="paragraph" w:styleId="Revision">
    <w:name w:val="Revision"/>
    <w:hidden/>
    <w:uiPriority w:val="99"/>
    <w:semiHidden/>
    <w:rsid w:val="00392487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D30F88"/>
    <w:pPr>
      <w:spacing w:after="180" w:line="319" w:lineRule="atLeast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0F8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106F6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rsid w:val="002106F6"/>
    <w:rPr>
      <w:rFonts w:ascii="Times New Roman" w:eastAsia="Times New Roman" w:hAnsi="Times New Roman" w:cs="Times New Roman"/>
      <w:b/>
      <w:bCs/>
      <w:color w:val="724128"/>
      <w:sz w:val="26"/>
      <w:szCs w:val="26"/>
    </w:rPr>
  </w:style>
  <w:style w:type="character" w:customStyle="1" w:styleId="ui-ncbitoggler-master-text">
    <w:name w:val="ui-ncbitoggler-master-text"/>
    <w:basedOn w:val="DefaultParagraphFont"/>
    <w:rsid w:val="002106F6"/>
  </w:style>
  <w:style w:type="character" w:styleId="HTMLCite">
    <w:name w:val="HTML Cite"/>
    <w:basedOn w:val="DefaultParagraphFont"/>
    <w:uiPriority w:val="99"/>
    <w:semiHidden/>
    <w:unhideWhenUsed/>
    <w:rsid w:val="009D1EEA"/>
    <w:rPr>
      <w:i/>
      <w:iCs/>
    </w:rPr>
  </w:style>
  <w:style w:type="character" w:customStyle="1" w:styleId="cit-auth">
    <w:name w:val="cit-auth"/>
    <w:basedOn w:val="DefaultParagraphFont"/>
    <w:rsid w:val="009D1EEA"/>
  </w:style>
  <w:style w:type="character" w:customStyle="1" w:styleId="cit-publ-loc">
    <w:name w:val="cit-publ-loc"/>
    <w:basedOn w:val="DefaultParagraphFont"/>
    <w:rsid w:val="009D1EEA"/>
  </w:style>
  <w:style w:type="character" w:customStyle="1" w:styleId="cit-publ-name">
    <w:name w:val="cit-publ-name"/>
    <w:basedOn w:val="DefaultParagraphFont"/>
    <w:rsid w:val="009D1EEA"/>
  </w:style>
  <w:style w:type="character" w:customStyle="1" w:styleId="cit-comment">
    <w:name w:val="cit-comment"/>
    <w:basedOn w:val="DefaultParagraphFont"/>
    <w:rsid w:val="009D1EEA"/>
  </w:style>
  <w:style w:type="character" w:customStyle="1" w:styleId="ref-label">
    <w:name w:val="ref-label"/>
    <w:basedOn w:val="DefaultParagraphFont"/>
    <w:rsid w:val="009D1EEA"/>
  </w:style>
  <w:style w:type="paragraph" w:customStyle="1" w:styleId="Standard">
    <w:name w:val="Standard"/>
    <w:rsid w:val="00942426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9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314">
      <w:bodyDiv w:val="1"/>
      <w:marLeft w:val="4"/>
      <w:marRight w:val="4"/>
      <w:marTop w:val="4"/>
      <w:marBottom w:val="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564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9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0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19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1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8158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8404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86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7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0718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78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8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28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178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56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9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BF791ED627C468E66BAA069A2BA4F" ma:contentTypeVersion="14" ma:contentTypeDescription="Create a new document." ma:contentTypeScope="" ma:versionID="d7fea6fa3178ef2151467fa6d5f3bf59">
  <xsd:schema xmlns:xsd="http://www.w3.org/2001/XMLSchema" xmlns:xs="http://www.w3.org/2001/XMLSchema" xmlns:p="http://schemas.microsoft.com/office/2006/metadata/properties" xmlns:ns3="33107949-767b-44a7-aa7b-0279e5e6373e" xmlns:ns4="25296a2e-55a4-4ee1-974e-513af3a5dcb7" targetNamespace="http://schemas.microsoft.com/office/2006/metadata/properties" ma:root="true" ma:fieldsID="d9714a6630a7653fd9bb8e25a1a031ed" ns3:_="" ns4:_="">
    <xsd:import namespace="33107949-767b-44a7-aa7b-0279e5e6373e"/>
    <xsd:import namespace="25296a2e-55a4-4ee1-974e-513af3a5dc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07949-767b-44a7-aa7b-0279e5e637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96a2e-55a4-4ee1-974e-513af3a5dcb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B277DC-6823-4144-BF80-73C2D0C73B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71D118-5121-4BCF-868C-493620A23A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4FDFE9-2CF2-40C9-8D3A-728097501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107949-767b-44a7-aa7b-0279e5e6373e"/>
    <ds:schemaRef ds:uri="25296a2e-55a4-4ee1-974e-513af3a5dc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3E3771-D78F-47C6-B453-39B1131D0D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GHC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Aruna Kamineni</dc:creator>
  <cp:lastModifiedBy>Jacquelyn Lykken</cp:lastModifiedBy>
  <cp:revision>9</cp:revision>
  <cp:lastPrinted>2019-04-10T13:47:00Z</cp:lastPrinted>
  <dcterms:created xsi:type="dcterms:W3CDTF">2023-08-04T14:59:00Z</dcterms:created>
  <dcterms:modified xsi:type="dcterms:W3CDTF">2023-09-27T18:53:00Z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0x010100A30BF791ED627C468E66BAA069A2BA4F</vt:lpwstr>
  </property>
</Properties>
</file>